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https://www.autoritedelaconcurrence.fr/fr/decision-de-controle-des-concentrations/relative-la-prise-de-controle-exclusif-du-groupe-aptus-par</w:t>
      </w:r>
    </w:p>
    <w:p>
      <w:r>
        <w:t>Pages translated : 6</w:t>
      </w:r>
    </w:p>
    <w:p/>
    <w:p>
      <w:r>
        <w:rPr>
          <w:b/>
        </w:rPr>
        <w:t>[Pages 1–3]</w:t>
      </w:r>
    </w:p>
    <w:p>
      <w:r>
        <w:t xml:space="preserve">FRENCH REPUBLIC  </w:t>
        <w:br/>
        <w:t xml:space="preserve">Decision No. 11-DCC-20 of February 7, 2011  </w:t>
        <w:br/>
        <w:t>regarding the exclusive control of the APTUS group by the AUSY group</w:t>
      </w:r>
    </w:p>
    <w:p>
      <w:r>
        <w:t xml:space="preserve">The Competition Authority,  </w:t>
        <w:br/>
        <w:t xml:space="preserve">Having regard to the notification file submitted in full to the merger service on January 5, 2011, regarding the exclusive control by the Ausy group of the Aptus group, formalized by a share transfer agreement dated January 4, 2011;  </w:t>
        <w:br/>
        <w:t xml:space="preserve">Having regard to Book IV of the Commercial Code relating to the freedom of prices and competition, and in particular its Articles L. 430-1 to L. 430-7;  </w:t>
        <w:br/>
        <w:t>Adopts the following decision:</w:t>
      </w:r>
    </w:p>
    <w:p>
      <w:r>
        <w:t xml:space="preserve">I. The companies concerned and the operation  </w:t>
        <w:br/>
        <w:t xml:space="preserve">1. Ausy SA, the parent company of the Ausy group (hereinafter, "the Ausy group") listed on the Euronext market, is active in the field of engineering and technology consulting, as well as in the information technology services sector. Owned 63.08% by individual and registered shareholders and 36.92% by bearers, it is not controlled by any of its shareholders. Ausy SA holds control, in France, of the company Ausy Part, a simplified joint-stock company (hereinafter, "Ausy Part"), and of the company Exalen Technologies, a simplified joint-stock company (hereinafter, "Exalen Technologies"), which operate in the same sector.  </w:t>
        <w:br/>
        <w:t xml:space="preserve">2. Financière Aptus, the parent company of the Aptus group (hereinafter, "the Aptus group"), is jointly controlled by Messrs. Allaire and Chatras. Aptus holds in France, directly or through its subsidiary Aptus SA, exclusive control of the companies Aptus Bordeaux SARL, Aptus Orléans SARL, Aptus Sophia SARL, and Apnet SARL. It also holds joint control of Arbone, with the company Filière Plastique International. The Aptus group is active in the field of engineering and technology consulting, as well as in the information technology services sector.  </w:t>
        <w:br/>
        <w:t>3. By a share transfer agreement dated January 4, 2011, the Ausy group planned to acquire all of the capital and voting rights of the company Financière Aptus.</w:t>
      </w:r>
    </w:p>
    <w:p>
      <w:r>
        <w:t xml:space="preserve">4. As it results in the exclusive control of the Aptus group by the Ausy group, the notified operation constitutes a concentration operation within the meaning of Article L. 430-1 of the Commercial Code.  </w:t>
        <w:br/>
        <w:t>5. The companies concerned together achieve a total worldwide turnover of more than 150 million euros (Ausy group: 153.8 million euros for the fiscal year ending December 31, 2009; Aptus group: 80.79 million euros for the same year). Each achieves, in France, a turnover exceeding 50 million euros (Ausy group: 137.8 million euros for the fiscal year ending December 31, 2009; Aptus group: 79.43 million euros for the same year). Given these turnovers, the operation does not have a Community dimension. However, the control thresholds mentioned in point I of Article L. 430-2 of the Commercial Code are exceeded. The present operation is therefore subject to the provisions of Articles L. 430-3 and following of the Commercial Code relating to economic concentration.</w:t>
      </w:r>
    </w:p>
    <w:p>
      <w:r>
        <w:t xml:space="preserve">II. Definition of relevant markets  </w:t>
        <w:br/>
        <w:t xml:space="preserve">A. DEFINITION OF THE RELEVANT SERVICE MARKETS  </w:t>
        <w:br/>
        <w:t xml:space="preserve">6. The parties are simultaneously present in the sectors of engineering and information technology services.  </w:t>
        <w:br/>
        <w:t xml:space="preserve">1. ENGINEERING AND TECHNICAL STUDIES  </w:t>
        <w:br/>
        <w:t xml:space="preserve">7. The parties are active in the market for engineering and technical studies, which encompasses all operations of design and assistance in the realization of predominantly industrial equipment in many fields such as industry, energy, transportation, environment, construction, and public services.  </w:t>
        <w:br/>
        <w:t xml:space="preserve">8. The competition authorities, both French and Community, have already had the opportunity to rule on concentration operations in the field of engineering and technical studies services, which cover all services provided at each stage of project management covering the entire life cycle (R&amp;D, development, engineering and processes, realization, operation, and maintenance). Practice has considered, without however deciding, a segmentation of the engineering services market based on their sectors of intervention. In this regard, the sectors of aeronautics, defense, telecommunications, energy, rail, banking, and insurance could be regarded as relevant. In this case, the areas of activity of the parties mainly overlap in the segments of engineering activities in transportation, aeronautics, telecommunications, energy, insurance, and banking. However, the parties believe that there is no need to distinguish by sector of activity, as all of their competitors are present in each of these segments.  </w:t>
        <w:br/>
        <w:t>9. The definition of service markets can, however, be left open insofar as the conclusion of the competitive analysis remains unchanged regardless of the definitions adopted.</w:t>
      </w:r>
    </w:p>
    <w:p>
      <w:r>
        <w:t xml:space="preserve">2. INFORMATION TECHNOLOGY SERVICES  </w:t>
        <w:br/>
        <w:t xml:space="preserve">10. The parties are simultaneously present in the information technology services sector. The competition authorities, both French and Community, have already had the opportunity to rule on the definition of the relevant markets in this sector, while leaving the question open.  </w:t>
        <w:br/>
        <w:t xml:space="preserve">11. The authorities have thus identified, within the market for information technology services, seven functional categories of services: (i) overall management services, (ii) business management services, (iii) software development and integration, (iv) consulting, (v) software maintenance and logistical support, (vi) maintenance of IT hardware and logistical support, and (vii) teaching and training.  </w:t>
        <w:br/>
        <w:t xml:space="preserve">12. Different alternative or complementary segmentations have also been considered according to:  </w:t>
        <w:br/>
        <w:t xml:space="preserve">- the type of clientele, SMEs or large accounts;  </w:t>
        <w:br/>
        <w:t xml:space="preserve">- the types of information and communication systems: (i) management application systems, which include IT services used to fulfill a horizontal function within companies or administrations; (ii) embedded scientific technical industrial application systems; (iii) generic application systems; (iv) IT infrastructure systems; and (v) communication infrastructure and enterprise network systems.  </w:t>
        <w:br/>
        <w:t xml:space="preserve">- the sector of activity, namely: (i) communications, (ii) education, (iii) energy and local networks, (iv) financial services, (v) public sector, (vi) health, (vii) industry, (viii) commerce and distribution, (ix) services, and (x) transport.  </w:t>
        <w:br/>
        <w:t xml:space="preserve">13. There is no need to challenge these segmentations in the context of the present operation.  </w:t>
        <w:br/>
        <w:t>14. The activities of the parties to the operation overlap across all seven functional categories. They also target, one and the other, a clientele primarily composed of large companies.</w:t>
      </w:r>
    </w:p>
    <w:p>
      <w:r>
        <w:rPr>
          <w:b/>
        </w:rPr>
        <w:t>[Pages 4–6]</w:t>
      </w:r>
    </w:p>
    <w:p>
      <w:r>
        <w:t>15. Furthermore, Aptus and Ausy provide services that fall under four information and communication systems: management application systems, embedded scientific technical industrial application systems, generic application systems, and enterprise communication and network infrastructure systems.</w:t>
      </w:r>
    </w:p>
    <w:p>
      <w:r>
        <w:t>16. Finally, they are present in the same sectors of activity, which are communications, energy and local networks, financial services, the public sector, health, industry, services, and transport.</w:t>
      </w:r>
    </w:p>
    <w:p>
      <w:r>
        <w:t>B. GEOGRAPHIC MARKETS</w:t>
      </w:r>
    </w:p>
    <w:p>
      <w:r>
        <w:t>1. ENGINEERING AND TECHNICAL STUDIES</w:t>
      </w:r>
    </w:p>
    <w:p>
      <w:r>
        <w:t>17. Regarding the market for engineering and technical studies, while practice has generally considered markets of national dimension, it has also contemplated that they could be of infranational dimension depending on the type of clientele and the missions concerned.</w:t>
      </w:r>
    </w:p>
    <w:p>
      <w:r>
        <w:t>18. In this case, market operators offer a wide range of services, allowing them to operate through nationally scaled networks in markets of varying sizes, just like their main competitors. Furthermore, their main clients are industrial groups of at least national scale. The analysis will therefore be conducted at the national level.</w:t>
      </w:r>
    </w:p>
    <w:p>
      <w:r>
        <w:t>2. INFORMATION TECHNOLOGY SERVICES</w:t>
      </w:r>
    </w:p>
    <w:p>
      <w:r>
        <w:t>19. The competition authorities have, on several occasions, determined that the markets for information technology services are of national dimension, notably due to the necessity for service providers to communicate regularly in the language of their clients and to maintain a relative proximity to them. However, they have noted a certain internationalization of supply and demand.</w:t>
      </w:r>
    </w:p>
    <w:p>
      <w:r>
        <w:t>20. In this case, the competitive analysis will be conducted at the national level.</w:t>
      </w:r>
    </w:p>
    <w:p>
      <w:r>
        <w:t>III. Competitive Analysis</w:t>
      </w:r>
    </w:p>
    <w:p>
      <w:r>
        <w:t>A. ENGINEERING AND TECHNICAL STUDIES</w:t>
      </w:r>
    </w:p>
    <w:p>
      <w:r>
        <w:t>21. In terms of engineering and technical studies, the supply is heterogeneous and fragmented: according to INSEE statistics, more than 33,000 companies operate in this sector, of which approximately 27,700 have fewer than 10 employees. Among the operators for whom engineering is the main activity, there are specialized subsidiaries belonging to large industrial groups as well as consulting firms of varying sizes. In this regard, INSEE data shows that, in France, companies with fewer than 250 employees account for two-thirds of the turnover generated in this sector.</w:t>
      </w:r>
    </w:p>
    <w:p>
      <w:r>
        <w:t>22. In the national market for engineering and technical studies, across all areas of activity, the parties estimated their market shares based on studies from a specialized firm at [0-5]% for the Ausy group and [0-5]% for the Aptus group, resulting in a combined market share of less than [0-5]%. The parties face competition from large groups such as Altran, Alten, Assystem, and Akka Technologies.</w:t>
      </w:r>
    </w:p>
    <w:p>
      <w:r>
        <w:t>23. The operation is therefore not likely to harm competition in the market for engineering and technical studies.</w:t>
      </w:r>
    </w:p>
    <w:p>
      <w:r>
        <w:t>B. INFORMATION TECHNOLOGY SERVICES</w:t>
      </w:r>
    </w:p>
    <w:p>
      <w:r>
        <w:t>24. The market for information technology services is a dynamic market, comprising more than 19,300 companies and is primarily concentrated in the Paris region. It involves large international groups such as Cap Gemini, Accenture, Atos Origin, and Hewlett-Packard.</w:t>
      </w:r>
    </w:p>
    <w:p>
      <w:r>
        <w:t>25. In the market for information technology services, the parties estimate their market shares, based on data provided by a specialized firm regarding the software and services market in 2010, at [0-5]% for the Ausy group and [0-5]% for the Aptus group.</w:t>
      </w:r>
    </w:p>
    <w:p>
      <w:r>
        <w:t>26. The parties further assess that in each of the functional segments, their respective combined market share is less than [0-5]%. Similarly, regardless of the type of clientele or the information and communication system retained, their combined market shares are below [0-5]%. Finally, in the segment of SMEs/SMIs as well as in that of large accounts, both the Ausy group and the Aptus group have a market share of less than [0-5]%. Furthermore, these two groups face competition from groups such as Alten, Business et Décision, Cadextan, Cap Gemini, Ernst &amp; Young, GFI, Keyrus, Sopra, and Steria.</w:t>
      </w:r>
    </w:p>
    <w:p>
      <w:r>
        <w:t>27. The proposed operation is therefore not likely to harm competition in the relevant markets.</w:t>
      </w:r>
    </w:p>
    <w:p>
      <w:r>
        <w:t>DECIDES</w:t>
      </w:r>
    </w:p>
    <w:p>
      <w:r>
        <w:t>Sole Article: The operation notified under number 10-0243 is authorized.</w:t>
      </w:r>
    </w:p>
    <w:p>
      <w:r>
        <w:t>The Vice-President,</w:t>
        <w:br/>
        <w:t>Anne Perrot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