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https://www.autoritedelaconcurrence.fr/fr/decision-de-controle-des-concentrations/relative-la-prise-de-controle-exclusif-du-groupe-arcado-par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22-DCC-97 of June 9, 2022  </w:t>
        <w:br/>
        <w:t xml:space="preserve">regarding the exclusive control acquisition of the Arcado group by the company  </w:t>
        <w:br/>
        <w:t xml:space="preserve">Chevrillon &amp; Compagnie  </w:t>
        <w:br/>
        <w:t xml:space="preserve">The Competition Authority,  </w:t>
        <w:br/>
        <w:t xml:space="preserve">Having regard to the complete notification file sent to the mergers department on May 20, 2022,  </w:t>
        <w:br/>
        <w:t xml:space="preserve">concerning the exclusive control acquisition of the Arcado group by the company Chevrillon &amp; Compagnie,  </w:t>
        <w:br/>
        <w:t xml:space="preserve">formalized by a unilateral purchase promise dated May 17, 2022;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by the company Chevrillon &amp; Compagnie of the exclusive control of the company Arcado Finance and its subsidiaries, a food group specialized in the manufacture of cured meat products and regional charcuterie. It constitutes a concentration operation within the meaning of Article L. 430-1 of the Commercial Code. Given the turnover achieved by the companies concerned, the operation does not fall under the jurisdiction of the European Union. However, the control thresholds mentioned in I of Article L. 430-2 of the Commercial Code are exceeded. The present operation is therefore subject to the provisions of Articles L. 430-3 and following of the Commercial Code relating to economic concentration.  </w:t>
        <w:br/>
        <w:t>2. In view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22-119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