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https://www.autoritedelaconcurrence.fr/fr/decision-de-controle-des-concentrations/relative-la-prise-de-controle-exclusif-du-groupe-aroma-zone</w:t>
      </w:r>
    </w:p>
    <w:p>
      <w:r>
        <w:t>Pages translated : 2</w:t>
      </w:r>
    </w:p>
    <w:p/>
    <w:p>
      <w:r>
        <w:rPr>
          <w:b/>
        </w:rPr>
        <w:t>[Pages 1–2]</w:t>
      </w:r>
    </w:p>
    <w:p>
      <w:r>
        <w:t xml:space="preserve">FRENCH REPUBLIC  </w:t>
        <w:br/>
        <w:t xml:space="preserve">Decision No. 21-DCC-92 of June 17, 2021  </w:t>
        <w:br/>
        <w:t xml:space="preserve">regarding the exclusive control acquisition of the Aroma Zone group by the  </w:t>
        <w:br/>
        <w:t xml:space="preserve">Eurazeo group  </w:t>
        <w:br/>
        <w:t xml:space="preserve">The Competition Authority,  </w:t>
        <w:br/>
        <w:t xml:space="preserve">Having regard to the complete notification file submitted to the mergers department on June 1, 2021,  </w:t>
        <w:br/>
        <w:t xml:space="preserve">concerning the exclusive control acquisition of the Aroma Zone group by Eurazeo formalized by a  </w:t>
        <w:br/>
        <w:t xml:space="preserve">purchase promise and an investment commitment letter, both dated April 23,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companies comprising the Aroma Zone group, active in the sectors of manufacturing and retail sale of cosmetic and maintenance products, by the Eurazeo group. It constitutes a concentration operation within the meaning of Article L. 430-1 of the Commercial Code. Given the turnover achieved by the companies concerned, the operation does not fall under the jurisdiction of the European Union. However, the control thresholds mentioned in point 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21-109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