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https://www.autoritedelaconcurrence.fr/fr/decision-de-controle-des-concentrations/relative-la-prise-de-controle-exclusif-du-groupe-arrk-par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17-DCC-197 of November 27, 2017  </w:t>
        <w:br/>
        <w:t xml:space="preserve">regarding the exclusive control acquisition of the Arrk group by the company  </w:t>
        <w:br/>
        <w:t xml:space="preserve">Mitsui Chemicals  </w:t>
        <w:br/>
        <w:t xml:space="preserve">The Competition Authority,  </w:t>
        <w:br/>
        <w:t xml:space="preserve">Having regard to the complete notification file sent to the mergers department on November 10,  </w:t>
        <w:br/>
        <w:t xml:space="preserve">2017, concerning the exclusive control acquisition of the Arrk group by the company Mitsui Chemicals,  </w:t>
        <w:br/>
        <w:t xml:space="preserve">formalized by a letter of intent dated November 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Arrk group by the company  </w:t>
        <w:br/>
        <w:t xml:space="preserve">Mitsui Chemicals. It constitutes a concentration operation within the meaning of Article L. 430-1  </w:t>
        <w:br/>
        <w:t xml:space="preserve">of the Commercial Code. Given the turnover achieved by the companies involved,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consistently defined by decision-making practice. Arrk is present in the market for the manufacture of spare parts for  </w:t>
        <w:br/>
        <w:t xml:space="preserve">the automotive industry. Mitsui Chemicals is notably active in the manufacture of materials  </w:t>
        <w:br/>
        <w:t xml:space="preserve">used for the production of automotive parts.  </w:t>
        <w:br/>
        <w:t xml:space="preserve">3. Regardless of the segmentations retained, the respective market shares of the parties are  </w:t>
        <w:br/>
        <w:t xml:space="preserve">below 10%.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17-242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