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https://www.autoritedelaconcurrence.fr/fr/decision-de-controle-des-concentrations/relative-la-prise-de-controle-exclusif-du-groupe-artemys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26-DCC-13 of January 20, 2026  </w:t>
        <w:br/>
        <w:t xml:space="preserve">regarding the exclusive control acquisition of the Artemys group  </w:t>
        <w:br/>
        <w:t xml:space="preserve">by the company SPIE ICS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24, 2025, concerning the exclusive control acquisition of the Artemys group by the company  </w:t>
        <w:br/>
        <w:t xml:space="preserve">SPIE ICS, formalized by a unilateral purchase promise signed on December 15,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company SPIE ICS, of 92.96% of the capital and  </w:t>
        <w:br/>
        <w:t xml:space="preserve">voting rights of Artemys Invest, at the head of the Artemys group. The sector concerned by this  </w:t>
        <w:br/>
        <w:t xml:space="preserve">concentration is that of IT services. The operation constitutes a concentration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in the relevant markets.  </w:t>
        <w:br/>
        <w:t xml:space="preserve">1 The group is formed by the companies Artemys, Permis Informatique, Arcatem, Permis Informatique Distribution,  </w:t>
        <w:br/>
        <w:t>Amontech, AJS, Formars, and BE WAN.</w:t>
      </w:r>
    </w:p>
    <w:p>
      <w:r>
        <w:t xml:space="preserve">DECIDES  </w:t>
        <w:br/>
        <w:t xml:space="preserve">Sole Article: The operation notified under number 25-364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