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https://www.autoritedelaconcurrence.fr/fr/decision-de-controle-des-concentrations/relative-la-prise-de-controle-exclusif-du-groupe-asmodee</w:t>
      </w:r>
    </w:p>
    <w:p>
      <w:r>
        <w:t>Pages translated : 2</w:t>
      </w:r>
    </w:p>
    <w:p/>
    <w:p>
      <w:r>
        <w:rPr>
          <w:b/>
        </w:rPr>
        <w:t>[Pages 1–2]</w:t>
      </w:r>
    </w:p>
    <w:p>
      <w:r>
        <w:t xml:space="preserve">FRENCH REPUBLIC  </w:t>
        <w:br/>
        <w:t xml:space="preserve">Decision No. 22-DCC-24 of February 24, 2022  </w:t>
        <w:br/>
        <w:t xml:space="preserve">regarding the exclusive control acquisition of the Asmodee group by the  </w:t>
        <w:br/>
        <w:t>Embracer group</w:t>
      </w:r>
    </w:p>
    <w:p>
      <w:r>
        <w:t>The Competition Authority,</w:t>
      </w:r>
    </w:p>
    <w:p>
      <w:r>
        <w:t xml:space="preserve">Having regard to the complete notification file sent to the mergers department on February 9, 2022,  </w:t>
        <w:br/>
        <w:t xml:space="preserve">concerning the exclusive control acquisition by Embracer Group AB, the parent company of the  </w:t>
        <w:br/>
        <w:t xml:space="preserve">Embracer group, of Financière Amuse Topco, the parent company of the Asmodee group,  </w:t>
        <w:br/>
        <w:t>formalized by the share transfer agreement dated January 17, 2022;</w:t>
      </w:r>
    </w:p>
    <w:p>
      <w:r>
        <w:t xml:space="preserve">Having regard to Book IV of the Commercial Code relating to the freedom of prices and competition, and  </w:t>
        <w:br/>
        <w:t>notably its Articles L. 430-1 to L. 430-7;</w:t>
      </w:r>
    </w:p>
    <w:p>
      <w:r>
        <w:t>Adopts the following decision:</w:t>
      </w:r>
    </w:p>
    <w:p>
      <w:r>
        <w:t>1. The notified operation consists of the exclusive control acquisition by the Embracer group of the Asmodee group, active in the publishing and distribution sector, both physical and online, of board games and collectible items. It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21-316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