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https://www.autoritedelaconcurrence.fr/fr/decision-de-controle-des-concentrations/relative-la-prise-de-controle-exclusif-du-groupe-assistance</w:t>
      </w:r>
    </w:p>
    <w:p>
      <w:r>
        <w:t>Pages translated : 21</w:t>
      </w:r>
    </w:p>
    <w:p/>
    <w:p>
      <w:r>
        <w:rPr>
          <w:b/>
        </w:rPr>
        <w:t>[Pages 1–3]</w:t>
      </w:r>
    </w:p>
    <w:p>
      <w:r>
        <w:t xml:space="preserve">FRENCH REPUBLIC  </w:t>
        <w:br/>
        <w:t xml:space="preserve">Decision No. 23-DCC-99 of May 25, 2023  </w:t>
        <w:br/>
        <w:t xml:space="preserve">regarding the exclusive control of the group Assistance aéronautique et aérospatiale by the Daher group  </w:t>
        <w:br/>
        <w:t xml:space="preserve">The Competition Authority,  </w:t>
        <w:br/>
        <w:t xml:space="preserve">Having regard to the notification file submitted in full to the merger service on April 17, 2023, regarding the exclusive control of the company Assistance aéronautique et aérospatiale, a subsidiary of the eponymous group, by the company Compagnie Daher, a subsidiary of the Daher group, formalized by a transfer contract dated December 16, 2022, and its amendment dated January 21, 2023;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I. The concerned companies and the operation  </w:t>
        <w:br/>
        <w:t xml:space="preserve">1. The Daher group (hereinafter, "Daher"), whose parent company is Coredaher, is a French group active notably in the sector of light aircraft construction and in industrial services primarily in the aeronautics sector. The group is notably engaged in activities in the sectors of parts manufacturing, technical aeronautical services, and logistics. Daher operates sites in Germany, Austria, Belgium, Canada, China, Spain, the United States, France, Morocco, Mexico, the Netherlands, and the United Kingdom.  </w:t>
        <w:br/>
        <w:t xml:space="preserve">2. The Assistance Aéronautique et Aérospatiale group (hereinafter, "AAA") is active in the aeronautics sector through, among other things, the provision of technical aeronautical services, industrial engineering, and maintenance services. AAA is currently owned by members of the [confidential] family as well as Messrs. [confidential] and [confidential].  </w:t>
        <w:br/>
        <w:t xml:space="preserve">3. The operation is materialized by a transfer contract dated December 16, 2022, and its amendment dated January 21, 2023. Following the operation, Daher will hold all of the capital and voting rights of AAA.  </w:t>
        <w:br/>
        <w:t xml:space="preserve">4. Insofar as it results in the acquisition of exclusive control of AAA by Daher, the notified operation is a concentration within the meaning of Article L. 430-1 of the Commercial Code.  </w:t>
        <w:br/>
        <w:t>5. The concerned companies together achieve a total worldwide turnover of more than 150 million euros (Daher: [≥ 150 million] euros for the fiscal year ending December 31, 2021; AAA: [≤ 150 million] euros for the fiscal year ending December 31, 2021). Each of these companies achieves in France a turnover exceeding 50 million euros (Daher: [≥ 50 million] euros for the fiscal year ending December 31, 2021; AAA: [≥ 50 million] euros for the fiscal year ending December 31, 2021).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simultaneously active in the markets (i) for the supply of aircraft parts, (ii) for technical aeronautical services, (iii) for spare parts and maintenance services ("MRO"). AAA is present in the market (iv) for engineering and technical studies, and Daher in the market (v) for logistics services for the aeronautics sector1.  </w:t>
        <w:br/>
        <w:t xml:space="preserve">1 The Daher group is also active in the market for business aircraft construction. However, while Daher manufactures two types of light aircraft (Kodiak in the United States and TBM in Tarbes), any risk of vertical effect between this activity and AAA's parts supply activity can be ruled out given AAA's market share regardless of the segmentation retained in the parts supply markets (less than 2%). Any risk of vertical effect between the aircraft construction activity and AAA's aircraft finishing activity (finishing or assembly correction services) can also be ruled out. Indeed, the respective market shares of the parties in these activities at the national level are below 30%. Daher also marginally provides services to the industry in the sectors of energy, defense, and transportation. These activities, having no links with those of AAA, will not be detailed in this decision.  </w:t>
        <w:br/>
        <w:t xml:space="preserve">2 See Decision No. 20-DCC-62 of May 13, 2020, regarding the exclusive control of Short Brothers plc and Bombardier Aerospace North Africa SAS as well as certain assets of Bombardier by Spirit Aerosystems Inc. and the decisions of the Commission M. 1601 Allied Signal / Honeywell of December 1, 1999, M. 8425 Safran / Zodiac Aerospace of December 21, 2017, and M. 8985 Boeing / KLX of October 1, 2018.  </w:t>
        <w:br/>
        <w:t xml:space="preserve">3 See the decisions of the European Commission M. 1438 British Aerospace / GEC Marconi of June 25, 1999, and M. 4561 GE / Smiths Aerospace of April 23, 2007.  </w:t>
        <w:br/>
        <w:t xml:space="preserve">4 See the decisions of the European Commission M. 2168 Snecma / Hurel-Dubois of November 14, 2000; M. 6410 UTC / Goodrich of July 26, 2012, and M. 8948 Spirit / Asco of March 20, 2019, as well as the aforementioned decision M. 8425.  </w:t>
        <w:br/>
        <w:t xml:space="preserve">5 See the aforementioned Decision No. 20-DCC-62.  </w:t>
        <w:br/>
        <w:t xml:space="preserve">6 The structural components of the wings include notably landing gear attachments, strakelets, straps, rear cockpit frames and windows, wing attachments, spoiler beams, ribs, box frames, machined parts, spars, and profiles.  </w:t>
        <w:br/>
        <w:t>7 The structural components of the fuselage include notably the different types of frames, beams, and fitting plates.</w:t>
      </w:r>
    </w:p>
    <w:p>
      <w:r>
        <w:rPr>
          <w:b/>
        </w:rPr>
        <w:t>[Pages 4–6]</w:t>
      </w:r>
    </w:p>
    <w:p>
      <w:r>
        <w:t xml:space="preserve">9. The notifying party considers that by analogy with decision-making practice, it is possible to identify distinct markets, respectively for belly fairings, landing gear doors, and cabin interior elements, as well as for each of the cabin interior elements (thermal and acoustic insulation systems, air distribution systems, floor coverings, and baggage restraint nets).  </w:t>
        <w:br/>
        <w:t xml:space="preserve">10. Furthermore, national decision-making practice has distinguished, within the aircraft market, helicopters, commercial airplanes, so-called "general aviation" airplanes, and military airplanes. Within commercial-use airplanes, it has considered a segmentation between large commercial airplanes (over 100 passengers), regional airplanes (between 30 and 100 passengers), and business airplanes. It has applied these segmentations to the sector of aircraft parts supply.  </w:t>
        <w:br/>
        <w:t xml:space="preserve">11. The question of the precise market delineation can be left open, with the conclusions of the competitive analysis remaining unchanged, regardless of the assumption made. In this case, Daher supplies parts for military airplanes, helicopters, and commercial airplanes (large capacity, regional airplanes, and business airplanes). AAA supplies parts for military airplanes and commercial airplanes (large capacity and business airplanes). The analysis will therefore be conducted both on the overall market as well as on each component market.  </w:t>
        <w:br/>
        <w:t xml:space="preserve">2. GEOGRAPHICAL MARKETS  </w:t>
        <w:br/>
        <w:t xml:space="preserve">12. The Commission consistently considers that the markets for aircraft parts are of a global dimension.  </w:t>
        <w:br/>
        <w:t xml:space="preserve">13. There is no need, in this case, to challenge the geographical delineation of these markets.  </w:t>
        <w:br/>
        <w:t xml:space="preserve">B. MARKETS FOR TECHNICAL AERONAUTICAL SERVICE PROVISIONS  </w:t>
        <w:br/>
        <w:t xml:space="preserve">1. PRODUCT MARKETS  </w:t>
        <w:br/>
        <w:t xml:space="preserve">14. Neither the Competition Authority (hereinafter "the Authority") nor the Commission has, at this stage, analyzed operations concerning technical aeronautical service provisions. These activities, also referred to by the notifying party as "industrial services," consist of ensuring, on behalf of an aircraft manufacturer, a number of production steps through subcontracting, most often at the manufacturer's premises, on its aircraft assembly lines. Manufacturers generally call upon these service providers for organizational reasons, cost reasons, or to manage fluctuations in production volumes.  </w:t>
        <w:br/>
        <w:t xml:space="preserve">15. While the workforce performing these services is that of the service provider, the methods, production process, and other means implemented are those of the manufacturer.  </w:t>
        <w:br/>
        <w:t xml:space="preserve">16. For these activities, the service provider's teams are assigned to carry out certain operations, just as the manufacturer's own teams may be. On the same aircraft, successive production steps may thus be carried out by teams from different subcontractors and by the manufacturer's own teams.  </w:t>
        <w:br/>
        <w:t xml:space="preserve">17. The providers offering these services are distinguished from temporary employment agencies in that the contracts concluded pertain to the execution of specific tasks and are not limited to the provision of personnel.  </w:t>
        <w:br/>
        <w:t xml:space="preserve">a) Segmentations by type of service  </w:t>
        <w:br/>
        <w:t xml:space="preserve">18. The notifying party indicates that different production steps of an aircraft can be subcontracted. It particularly distinguishes the services listed below.  </w:t>
        <w:br/>
        <w:t xml:space="preserve">Assembly of aerostructure elements and aircraft systems  </w:t>
        <w:br/>
        <w:t xml:space="preserve">19. This refers to the assembly services of elements such as wings, fuselage, tailplane, or belly fairing occurring during the pre-assembly phases ("pre-FAL" for "Pre-Final Assembly Line") or final assembly ("FAL" for "Final Assembly Line") of the aircraft.  </w:t>
        <w:br/>
        <w:t xml:space="preserve">Commercial outfitting  </w:t>
        <w:br/>
        <w:t xml:space="preserve">20. This refers to assembly services including the installation of the cabin and associated equipment such as seats, carpets, paneling, and insulation mattresses under the "colors" of the airline customer of the manufacturer.  </w:t>
        <w:br/>
        <w:t xml:space="preserve">Assembly of engines and major equipment  </w:t>
        <w:br/>
        <w:t xml:space="preserve">21. This refers to the assembly services of engines and major equipment such as landing gear and the integration of the mechanical and electrical systems of the aircraft.  </w:t>
        <w:br/>
        <w:t xml:space="preserve">Finalization work ("OSW")  </w:t>
        <w:br/>
        <w:t xml:space="preserve">22. This finalization work occurs after the final assembly of the aircraft. It involves preparing the aircraft for test flights (fuel filling, electrical supply, cleaning, towing, etc.), and then for delivery to the customer.  </w:t>
        <w:br/>
        <w:t xml:space="preserve">23. Throughout the aircraft production process, finalization activities (or "outstanding work," hereinafter "OSW") consist of finishing or correcting assembly (assembly defects, missing parts, etc.) that are carried out outside the assembly line by a team distinct from that of the assembly line, in order not to slow down production.  </w:t>
        <w:br/>
        <w:t xml:space="preserve">24. The notifying party considers that it is not necessary to distinguish the different activities mentioned within the market for technical aeronautical services, as it believes that the teams present on a given service can be easily redeployed to another service. However, the notifying party specifies that such reassignment is only possible on the condition "to internally pass the required Airbus qualifications."  </w:t>
        <w:br/>
        <w:t xml:space="preserve">25. The Authority conducted a market test with the main customers and competitors of the parties. It emerges that, to designate these services which consist of subcontracting production steps, several terms seem to be usable, in addition to the term "industrial services" retained by the notifying party. The terms "subcontracting of technical services," "technical and aeronautical service provisions," and to a lesser extent "technical assistance," also refer to the same services. The term "technical aeronautical service provisions" will be retained for the purposes of this decision.  </w:t>
        <w:br/>
        <w:t xml:space="preserve">26. Regarding the scope of the services included in this market, the market test confirms that the services presented in paragraphs 18 to 23 of this decision fall within the market for technical aeronautical service provisions.  </w:t>
        <w:br/>
        <w:t xml:space="preserve">27. However, two respondents consider that the activity of reconditioning or converting aircraft should also be included within this market. This activity involves repainting the aircraft in the colors of a new airline. These conversions may be requested by manufacturers, who are compelled to carry out the conversion of an aircraft even before its construction is completed, in the event of a late order cancellation and the sale of the aircraft to another customer. In this case, conversion services may be entrusted to technical aeronautical service providers such as Daher or AAA. The notifying party specifies, however, that generally, conversion projects are organized by airlines after acquiring an aircraft from another airline. In this case, the service is usually performed by a company specialized in the maintenance sector. For this operation, the Authority will take into account the conversion activity in the analysis of technical aeronautical service provisions, an activity that will also be examined individually.  </w:t>
        <w:br/>
        <w:t>28. Regarding the segmentation between the different services within the market for technical aeronautical service provisions, the majority of respondents to the market test considered, contrary to the notifying party, that the segmentation between each of the aforementioned services is relevant. Indeed, it should be noted that contracts related to these different industrial services are concluded within the framework of distinct calls for tenders. In this regard, one of the manufacturers responding to the market test considers it necessary to distinguish these different services as providers must be qualified and approved for each of them. This manufacturer specifies that this is a requirement of the certification authorities (EASA), which consider these services as "products in terms of qualification and quality reference." The manufacturer further specifies that most of the</w:t>
      </w:r>
    </w:p>
    <w:p>
      <w:r>
        <w:rPr>
          <w:b/>
        </w:rPr>
        <w:t>[Pages 7–9]</w:t>
      </w:r>
    </w:p>
    <w:p>
      <w:r>
        <w:t xml:space="preserve">companies only cover part of these services. According to him, very few companies are able to meet all the requirements and offer all the services.  </w:t>
        <w:br/>
        <w:t xml:space="preserve">29. Another manufacturer considers that these services correspond to different areas of expertise and deserve to be distinguished. The same respondent also specifies that the assembly of engines and major equipment should be divided by distinguishing the assembly of engines from the assembly of other equipment.  </w:t>
        <w:br/>
        <w:t xml:space="preserve">30. In the context of this operation, the analysis will therefore be conducted in the sector of technical aeronautical service offerings as a whole as well as for each of the following services:  </w:t>
        <w:br/>
        <w:t xml:space="preserve">- assembly of aerostructure elements in pre-FAL16;  </w:t>
        <w:br/>
        <w:t xml:space="preserve">- assembly of aerostructure elements in FAL;  </w:t>
        <w:br/>
        <w:t xml:space="preserve">- assembly of engines;  </w:t>
        <w:br/>
        <w:t xml:space="preserve">- assembly of major equipment (landing gear, integration of mechanical and electrical systems of the aircraft);  </w:t>
        <w:br/>
        <w:t xml:space="preserve">- commercial layout;  </w:t>
        <w:br/>
        <w:t xml:space="preserve">- finishing activities (OSW);  </w:t>
        <w:br/>
        <w:t xml:space="preserve">- runway works; and  </w:t>
        <w:br/>
        <w:t xml:space="preserve">- conversion sites.  </w:t>
        <w:br/>
        <w:t xml:space="preserve">31. In this case, Daher provides assembly services for aerostructure elements in pre-FAL and FAL, commercial layout, and finishing works. AAA provides technical aeronautical services for military aircraft, civil and military helicopters, business jets, and large commercial aircraft.  </w:t>
        <w:br/>
        <w:t xml:space="preserve">b) Segmentations by type, program, or model of aircraft  </w:t>
        <w:br/>
        <w:t xml:space="preserve">32. Furthermore, several markets related to aeronautical production (supply of parts or maintenance) have been segmented by competition authorities by type of aircraft (helicopters, commercial airplanes – large capacity airplanes, regional airplanes, and military airplanes) or, even more finely, by platform (i.e., by model of airplanes, for example A320, or A350).  </w:t>
        <w:br/>
        <w:t xml:space="preserve">33. Regarding the activities of technical aeronautical service offerings, the notifying party considers that it is not relevant to segment the market by type of aircraft insofar as, on the one hand, service providers all employ the required workforce to provide all industrial services across different types of aircraft, and on the other hand, the technical skills mobilized are the same regardless of the type of aircraft considered.  </w:t>
        <w:br/>
        <w:t xml:space="preserve">34. However, certain elements gathered during the investigation and market test may lead to considering a distinction by category of aircraft. Indeed, one of the manufacturers emphasizes that the clients are different for the various categories of aircraft it produces. Additionally, one of the parties' competitors clearly identifies the necessity to distinguish between civil aircraft, military aircraft, and helicopters within the different technical aeronautical service offerings. It should also be noted that calls for tenders according to the type of aircraft are clearly distinct.  </w:t>
        <w:br/>
        <w:t xml:space="preserve">35. Furthermore, while one of the parties' competitors emphasizes that the qualification of the participants is specific to each program (A320, A330, A350, ATR) and thus, the competitive position of the operators should also be assessed based on the program, other respondents to the market test consider, on the contrary, that it is not necessary to segment the market by program.  </w:t>
        <w:br/>
        <w:t xml:space="preserve">36. In light of these elements, each of the technical aeronautical service offerings will, within the framework of this operation, be distinguished by type of aircraft. The following categories will therefore be retained:  </w:t>
        <w:br/>
        <w:t xml:space="preserve">- military airplanes;  </w:t>
        <w:br/>
        <w:t xml:space="preserve">- military helicopters;  </w:t>
        <w:br/>
        <w:t xml:space="preserve">- civil helicopters;  </w:t>
        <w:br/>
        <w:t xml:space="preserve">- business jets;  </w:t>
        <w:br/>
        <w:t xml:space="preserve">- regional airplanes (30 to 100 passengers);  </w:t>
        <w:br/>
        <w:t xml:space="preserve">- large commercial airplanes (more than 100 passengers).  </w:t>
        <w:br/>
        <w:t xml:space="preserve">37. In this case, Daher provides various service offerings for large commercial airplanes. AAA provides technical aeronautical services for military airplanes, civil and military helicopters, business jets, and large commercial airplanes.  </w:t>
        <w:br/>
        <w:t xml:space="preserve">38. In any case, the question of the precise delineation of the market for technical aeronautical service offerings can be left open, with the conclusions of the competitive analysis remaining unchanged, regardless of the hypothesis retained.  </w:t>
        <w:br/>
        <w:t xml:space="preserve">2. GEOGRAPHICAL MARKETS  </w:t>
        <w:br/>
        <w:t xml:space="preserve">39. Unlike intellectual service offerings, the technical aeronautical services provided by the parties require a constant presence of technicians on the assembly lines of their client. This necessity to be present locally generally supports a local approach to competition conditions.  </w:t>
        <w:br/>
        <w:t xml:space="preserve">40. The notifying party considers that it is not relevant to apprehend the market at an infranational level, as service providers are all able to provide manufacturers with the necessary personnel at each of their industrial sites.  </w:t>
        <w:br/>
        <w:t xml:space="preserve">41. During the market test, industry players were questioned on this issue, although no consensus emerged. The manufacturers themselves are divided on this point. Some believe that competition occurs at the national level, or even at the global level for finishing activities for a manufacturer, while others consider that these are local markets, which may nonetheless encompass several production sites. One manufacturer specifies in particular that the service activities related to the assembly of its aircraft are predominantly carried out within its own factories and assembly lines. Service companies are therefore located in close proximity to the assembly sites.  </w:t>
        <w:br/>
        <w:t xml:space="preserve">42. Regarding the competitors of the parties, some believe that the market is of national or global dimension, while others consider on the contrary that they are of local dimension (50 km around client sites or at the departmental level). However, one competitor specifies that the local dimension can be extended to a national or even European dimension depending on the client's coverage of travel expenses for the personnel involved.  </w:t>
        <w:br/>
        <w:t xml:space="preserve">43. In this case, the question of the geographical dimension of the market for technical aeronautical service offerings can be left open, with the conclusions of the competitive analysis remaining unchanged regardless of the hypothesis retained.  </w:t>
        <w:br/>
        <w:t xml:space="preserve">44. The activities of technical aeronautical service offerings will, within the framework of this operation, be analyzed at the national level as well as at the local level, in the different production areas of aircraft manufacturers within the national territory. These local areas are as follows:  </w:t>
        <w:br/>
        <w:t xml:space="preserve">- Argenteuil (95);  </w:t>
        <w:br/>
        <w:t xml:space="preserve">- Biarritz (64);  </w:t>
        <w:br/>
        <w:t xml:space="preserve">- Nantes/Saint Nazaire (44);  </w:t>
        <w:br/>
        <w:t xml:space="preserve">- Marignane (13);  </w:t>
        <w:br/>
        <w:t xml:space="preserve">- Mérignac (33);  </w:t>
        <w:br/>
        <w:t xml:space="preserve">- Toulouse (31).  </w:t>
        <w:br/>
        <w:t xml:space="preserve">C. MARKETS FOR SPARE PARTS AND MAINTENANCE SERVICES ("MRO")17  </w:t>
        <w:br/>
        <w:t xml:space="preserve">1. MARKETS FOR PRODUCTS AND SERVICES  </w:t>
        <w:br/>
        <w:t xml:space="preserve">45. European decision-making practice has considered a segmentation between the market for the supply of spare parts used in maintenance operations and the market for the supply of maintenance services18.  </w:t>
        <w:br/>
        <w:t xml:space="preserve">46. Within maintenance services, the Commission has distinguished19:  </w:t>
        <w:br/>
        <w:t>- "line" maintenance services, which aim to ensure that the aircraft is fit to fly, and take place at an airport located on the aircraft's route. In the context of line maintenance, the aircraft is not removed from service. Decision-making practice has considered a segmentation of these mandatory maintenance services between (i) the so-called "A-checks" which occur every 800 flight hours and require 200 to 300 man-hours of work and (ii) the</w:t>
      </w:r>
    </w:p>
    <w:p>
      <w:r>
        <w:rPr>
          <w:b/>
        </w:rPr>
        <w:t>[Pages 10–12]</w:t>
      </w:r>
    </w:p>
    <w:p>
      <w:r>
        <w:t xml:space="preserve">verifications "B-check" which take place every four to six months and generally last three days;  </w:t>
        <w:br/>
        <w:t xml:space="preserve">- the so-called "heavy" maintenance services, which involve the removal of the aircraft from circulation and the detailed inspection of the entire aircraft. Similar to line maintenance services, the Commission's decision-making practice has considered a segmentation between (i) heavy maintenance operations known as "C-checks" which occur at a given interval (set by the manufacturer in months or flight hours) and (ii) heavy maintenance operations known as "D-checks" which involve the disassembly of the aircraft, overhaul, and inspection of all components;  </w:t>
        <w:br/>
        <w:t xml:space="preserve">- engine maintenance services, possibly segmented according to the type of engine;  </w:t>
        <w:br/>
        <w:t xml:space="preserve">- component maintenance, which essentially consists of replacing components whose failure has been detected (by the aircraft systems or during heavy or line maintenance operations). Component maintenance also involves periodic overhauls of certain components related to safety.  </w:t>
        <w:br/>
        <w:t xml:space="preserve">47. The decision-making practice has considered that an additional distinction based on the type of aircraft is relevant (large capacity commercial aircraft, business aircraft, and military aircraft)20. It has also been able to retain a segmentation based on the platform, that is to say, the aircraft model (for example, Boeing 737 or Airbus A340)21.  </w:t>
        <w:br/>
        <w:t xml:space="preserve">48. The question of market delineation can be left open, as the conclusions of the competitive analysis remain unchanged, regardless of the assumption made. In this case, Daher provides "line" maintenance services and so-called "heavy" maintenance "A-check" and "B-check" for light aircraft. AAA also provides structural maintenance services known as "D-check" for large capacity commercial aircraft.  </w:t>
        <w:br/>
        <w:t xml:space="preserve">2. GEOGRAPHICAL MARKETS  </w:t>
        <w:br/>
        <w:t xml:space="preserve">49. The decision-making practice considers that the markets for aircraft spare parts are at least of European dimension22.  </w:t>
        <w:br/>
        <w:t xml:space="preserve">50. For the markets of aircraft maintenance services, it has considered23:  </w:t>
        <w:br/>
        <w:t xml:space="preserve">- a global dimension for the markets of component maintenance;  </w:t>
        <w:br/>
        <w:t xml:space="preserve">- at least a European dimension for the heavy maintenance market ("C-Check" and "D-Check") and engine maintenance24;  </w:t>
        <w:br/>
        <w:t xml:space="preserve">20 See the decisions of the European Commission JV. 19 KLM / Alitalia of August 11, 1999 as well as M. 3280, M. 3374, M. 6844 and M. 8425 mentioned above.  </w:t>
        <w:br/>
        <w:t xml:space="preserve">21 See the decisions M. 3280 and M. 3374 mentioned above.  </w:t>
        <w:br/>
        <w:t xml:space="preserve">22 See the decisions M. 6410, M. 8425 and M. 8858 mentioned above.  </w:t>
        <w:br/>
        <w:t xml:space="preserve">23 See the decisions M. 3280, M. 3374, M. 6410, M. 6554, M. 6844 and M. 8858 mentioned above.  </w:t>
        <w:br/>
        <w:t xml:space="preserve">24 Except possibly for military aircraft engines.  </w:t>
        <w:br/>
        <w:t xml:space="preserve">- a local dimension (or at least infra-European) for the line maintenance market ("A-Check" and "B-Check"), insofar as the latter takes place on the route of the concerned aircraft.  </w:t>
        <w:br/>
        <w:t xml:space="preserve">51. There is no need, in this case, to challenge the geographical delineation of these markets.  </w:t>
        <w:br/>
        <w:t xml:space="preserve">D. ENGINEERING AND TECHNICAL STUDIES MARKETS  </w:t>
        <w:br/>
        <w:t xml:space="preserve">1. PRODUCT MARKETS  </w:t>
        <w:br/>
        <w:t xml:space="preserve">52. Engineering and technical studies services correspond to all the services provided during the life cycle of a product (R&amp;D, development, engineering and process, realization, operation, and maintenance)25. These services concern many economic sectors such as industry, energy, transport, environment, construction, and public services.  </w:t>
        <w:br/>
        <w:t xml:space="preserve">53. Competition authorities, both French26 and European27, have considered several segmentations of this market without definitively resolving the issue.  </w:t>
        <w:br/>
        <w:t xml:space="preserve">54. They have thus considered defining a technology consulting market28, a project management assistance market, distinct from other engineering and technical studies services. They have also segmented the engineering services market based on the sectors of intervention, distinguishing the sectors of aeronautics, defense, telecommunications, energy, rail, transport, industry, banking, and insurance29. For some of these sectors, such as aerospace, the Commission30 has considered a sub-segmentation between general technical studies and specialized technical studies.  </w:t>
        <w:br/>
        <w:t xml:space="preserve">55. In this case, AAA is active in the engineering and technical studies services market in the aeronautics sector, notably through the preparation of instruction sheets for workers, technical support during production consisting of acting as an intermediary between engineering offices and workers as well as quality control31. The notifying party considers that there is no need to segment the market between the activity of preparing instruction sheets and technical support, as these two activities correspond to the same reference ("ME3S") for the aircraft manufacturer Airbus. However, the majority of respondents to the market test consider that these two types of service should be distinguished. Furthermore, the majority of respondents to the market test considered that quality control constituted a distinct market from the other two services mentioned. It should be noted in this regard that aircraft quality control services are subject to separate tenders by aircraft manufacturers.  </w:t>
        <w:br/>
        <w:t xml:space="preserve">56. The question of the exact delineation of the engineering and technical studies markets can, however, be left open, as the conclusions of the competitive analysis remain unchanged, regardless of the assumption made. In this case, the analysis was conducted on the following markets: (i) the preparation of instruction sheets, (ii) technical support during production, and (iii) quality control.  </w:t>
        <w:br/>
        <w:t xml:space="preserve">2. GEOGRAPHICAL MARKETS  </w:t>
        <w:br/>
        <w:t xml:space="preserve">57. The decision-making practice has generally considered that the engineering and technical studies markets are of national dimension32. It has nevertheless also considered that these markets may be of infranational dimension33 depending on the type of clientele and the missions concerned. Regarding the engineering and technical studies markets in the aeronautics sector, the notifying party considers that the relevant geographical dimension is national.  </w:t>
        <w:br/>
        <w:t xml:space="preserve">58. In this case, the precise geographical dimension of the engineering and technical studies markets can be left open, as the conclusions of the competitive analysis remain unchanged, regardless of the assumption made. The analysis will be conducted at the national level as well as locally, in the production areas of the manufacturers mentioned in paragraph 44 of this decision.  </w:t>
        <w:br/>
        <w:t xml:space="preserve">E. LOGISTICS SERVICES MARKETS  </w:t>
        <w:br/>
        <w:t xml:space="preserve">1. PRODUCT MARKETS  </w:t>
        <w:br/>
        <w:t xml:space="preserve">59. According to the decision-making practice of competition authorities34, logistics services connect the various links of a supply chain of goods between an origin point and a destination point, in order to optimally manage the flow and the  </w:t>
        <w:br/>
        <w:t xml:space="preserve">31 Quality control services are not exclusively performed at the end of the chain but also during the production cycle. Quality control services may notably involve visual quality inspection or quality assurance against applicable standards.  </w:t>
        <w:br/>
        <w:t xml:space="preserve">32 Decision n° 10-DCC-164 mentioned above.  </w:t>
        <w:br/>
        <w:t xml:space="preserve">33 Decision n° 09-DCC-71 mentioned above.  </w:t>
        <w:br/>
        <w:t>34 See notably decisions n° 19-DCC-268 of December 31, 2019 regarding the exclusive control of the company AltéAd and the assets of 12 companies of the AltéAd group by the company Mediaco Levage, n° 18-DCC-127 of July 30, 2018 regarding the exclusive control of the company Alpha Direct Services by the company Log’Hopp and n° 13-DCC-87 of July 11, 2013 regarding the exclusive control of the European Logistics Services Company by ID Logistics Group SA.</w:t>
      </w:r>
    </w:p>
    <w:p>
      <w:r>
        <w:rPr>
          <w:b/>
        </w:rPr>
        <w:t>[Pages 13–15]</w:t>
      </w:r>
    </w:p>
    <w:p>
      <w:r>
        <w:t xml:space="preserve">storage of said goods. This activity can be likened to a comprehensive offer, as it combines a set of services such as, in particular, storage, inventory management, order taking, and transportation of goods at a time and place defined by the client.  </w:t>
        <w:br/>
        <w:t xml:space="preserve">60. The European and national competition authorities have considered the existence of distinct logistics markets for certain sectors that, due to the characteristics of their production chains, may require specific logistics services35. Given the specificities of the aviation sector, particularly the volume of parts to be transported, a distinct market for this sector could be envisaged. The notifying party considers that it is not relevant to proceed with such segmentation as these services do not present particular specificities compared to the logistics services provided in other sectors, notably rail, aerospace, or industrial.  </w:t>
        <w:br/>
        <w:t xml:space="preserve">61. Furthermore, the Commission has considered distinguishing logistics services according to (i) their domestic or cross-border nature, (ii) the type of products. A distinction between 3PL logistics36 and 4PL logistics37 has also been considered. These questions have been left open38. The notifying party considers that the segmentation between 3PL39 and 4PL logistics is not relevant as most 4PL logistics service providers would also provide 3PL services.  </w:t>
        <w:br/>
        <w:t xml:space="preserve">62. In this case, only Daher is active in the logistics markets for aerospace. However, the question of the exact delineation of logistics markets can be left open, as the conclusions of the competitive analysis remain unchanged regardless of the delineation adopted.  </w:t>
        <w:br/>
        <w:t xml:space="preserve">2. GEOGRAPHICAL MARKETS  </w:t>
        <w:br/>
        <w:t xml:space="preserve">63. According to national decision-making practice40, the logistics service markets are of national dimension.  </w:t>
        <w:br/>
        <w:t xml:space="preserve">64. There is no need to revisit this delineation during the present investigation.  </w:t>
        <w:br/>
        <w:t xml:space="preserve">III. Competitive Analysis  </w:t>
        <w:br/>
        <w:t xml:space="preserve">35 See for example decision n° 11-DCC-79 of May 16, 2011, regarding the joint acquisition of Transcosatal Finances by the companies Satar, Chabas, and STEF-TFE Transport, as well as decision M. 3553 of the European Commission of October 4, 2004.  </w:t>
        <w:br/>
        <w:t xml:space="preserve">36 A 3PL logistics provider takes charge of part or all of a client's supply chain.  </w:t>
        <w:br/>
        <w:t xml:space="preserve">37 A 4PL logistics provider is responsible for optimizing supply chains.  </w:t>
        <w:br/>
        <w:t xml:space="preserve">38 See for example the European Commission decision M. 6059 Norbert Dentressangle / Laxey Logistics of March 21, 2011.  </w:t>
        <w:br/>
        <w:t xml:space="preserve">39 A 3PL logistics provider takes charge of part or all of a client's supply chain.  </w:t>
        <w:br/>
        <w:t xml:space="preserve">40 See for example decisions n° 19-DCC-268 and n° 13-DCC-87 cited above.  </w:t>
        <w:br/>
        <w:t>13</w:t>
      </w:r>
    </w:p>
    <w:p>
      <w:r>
        <w:t xml:space="preserve">65. Given the activities of the parties, the horizontal effects of the operation will be analyzed in the markets (i) for the supply of aircraft parts, (ii) for technical aeronautical service offerings, and (iii) for the supply of spare parts and maintenance services41.  </w:t>
        <w:br/>
        <w:t xml:space="preserve">66. The conglomerate effects of the operation will also be analyzed between (i) the different activities of the parties in the markets for technical aeronautical service offerings as well as between (ii) the different markets in which the parties are present and where their clients are the aircraft manufacturers: the supply of aircraft parts, technical aeronautical service offerings, engineering and technical studies services, and logistics services.  </w:t>
        <w:br/>
        <w:t xml:space="preserve">A. ANALYSIS OF HORIZONTAL EFFECTS  </w:t>
        <w:br/>
        <w:t xml:space="preserve">1. MARKETS FOR THE SUPPLY OF AIRCRAFT PARTS  </w:t>
        <w:br/>
        <w:t xml:space="preserve">67. In the markets for the supply of aircraft parts, the activities of the parties overlap in the markets for the supply of parts across all categories, for military aircraft, large capacity aircraft, and business jets. The operation also leads to overlaps in the following segmentations: fuselage for large capacity aircraft; wings, fuselage, doors, and landing gear hatches for business jets; and fuselage for military aircraft.  </w:t>
        <w:br/>
        <w:t xml:space="preserve">68. However, the combined market shares of the parties are below 10% with an increment consistently below two points, regardless of the segmentation considered. Therefore, the operation is not likely to harm competition through horizontal effects in the markets for the supply of aircraft parts.  </w:t>
        <w:br/>
        <w:t xml:space="preserve">2. MARKETS FOR TECHNICAL AERONAUTICAL SERVICE OFFERINGS  </w:t>
        <w:br/>
        <w:t xml:space="preserve">69. Both parties are active in the overall market for technical aeronautical service offerings. Their activities overlap concerning large capacity commercial aircraft42, and only for the following activities:  </w:t>
        <w:br/>
        <w:t xml:space="preserve">- assembly of aerostructure elements (in pre-FAL and FAL);  </w:t>
        <w:br/>
        <w:t xml:space="preserve">- finishing activities (OSW).  </w:t>
        <w:br/>
        <w:t xml:space="preserve">41 AAA also provides technical services in the nautical sector. However, Daher only provided services in this sector for [confidential] euros in 2021, so the operation will have a very limited impact on this sector in any case. Furthermore, Daher and AAA also provide sensitive packaging (containers) in the defense sector. However, AAA's market share is marginal and below 1%, so the operation will also have a very limited impact on this activity in any case.  </w:t>
        <w:br/>
        <w:t xml:space="preserve">42 Daher is only present in the market for technical aeronautical service offerings for large capacity commercial aircraft, so the market shares presented here will be limited to this segment alone. Although the activities of the parties also overlap in the broader category encompassing all aircraft, the combined market shares will necessarily be lower than those related to the segment of large capacity commercial aircraft alone.  </w:t>
        <w:br/>
        <w:t>14</w:t>
      </w:r>
    </w:p>
    <w:p>
      <w:r>
        <w:t xml:space="preserve">70. The parties carry out these activities at the various production sites of their clients but are only simultaneously present at the Nantes/Saint Nazaire and Toulouse sites.  </w:t>
        <w:br/>
        <w:t xml:space="preserve">a) Position in the national market  </w:t>
        <w:br/>
        <w:t xml:space="preserve">71. At the national level, for the category of large capacity commercial aircraft, the combined market share of the parties is [40-50]% in a global market for technical aeronautical service offerings.  </w:t>
        <w:br/>
        <w:t xml:space="preserve">72. Regarding the different services considered in isolation, the parties are simultaneously present in the pre-FAL and FAL assembly activities as well as in the finishing activities (OSW). For the category of large capacity commercial aircraft, the combined market share of the parties reaches 40% to 50% for pre-FAL assembly activities as well as for FAL assembly activities. Regarding finishing activities, the combined market share of the parties reaches 30% to 40%.  </w:t>
        <w:br/>
        <w:t xml:space="preserve">b) Position in local markets  </w:t>
        <w:br/>
        <w:t xml:space="preserve">73. Daher operates at the Nantes/Saint Nazaire (44) and Toulouse (31) sites. AAA is present at the Argenteuil (95), Biarritz (64), Nantes/Saint-Nazaire (44), Marignane (13), Mérignac (33), and Toulouse (31) sites. The overlaps in activities between the parties thus only appear in the Nantes/Saint Nazaire (44) and Toulouse (31) areas.  </w:t>
        <w:br/>
        <w:t xml:space="preserve">Nantes/Saint Nazaire area (44)  </w:t>
        <w:br/>
        <w:t xml:space="preserve">74. In the Nantes/Saint Nazaire area, for the category of large capacity commercial aircraft, across all technical aeronautical service offerings, the combined market share of the parties reaches [40-50]% to [50-60]%.  </w:t>
        <w:br/>
        <w:t xml:space="preserve">75. Regarding the different services, still for the category of large capacity commercial aircraft, the parties are simultaneously active in pre-FAL assembly and finishing activities. The combined market share of the parties reaches 40% to 50% for pre-FAL assembly activities and is [50-60]% for finishing activities.  </w:t>
        <w:br/>
        <w:t xml:space="preserve">Toulouse area (31)  </w:t>
        <w:br/>
        <w:t xml:space="preserve">76. In the Toulouse area, for the category of large capacity commercial aircraft, across all technical aeronautical service offerings, the combined market share of the parties reaches 30% to 40%.  </w:t>
        <w:br/>
        <w:t xml:space="preserve">77. Regarding the different services, still for the category of large capacity commercial aircraft, the parties are simultaneously active in the FAL assembly segment as well as in finishing activities. The combined market share of the parties reaches 40% to 50% for FAL assembly activities and is [30-40]% for finishing activities.  </w:t>
        <w:br/>
        <w:t>c) Analysis</w:t>
      </w:r>
    </w:p>
    <w:p>
      <w:r>
        <w:rPr>
          <w:b/>
        </w:rPr>
        <w:t>[Pages 16–18]</w:t>
      </w:r>
    </w:p>
    <w:p>
      <w:r>
        <w:t>78. The market shares of the parties thus exceed the threshold of 25%43 in several markets:</w:t>
        <w:br/>
        <w:t>- at the national level, for large capacity commercial aircraft, across all activities;</w:t>
        <w:br/>
        <w:t>- at the national level, for large capacity commercial aircraft, in the activities of pre-FAL and FAL assembly, as well as in finishing activities;</w:t>
        <w:br/>
        <w:t>- in the Nantes/Saint Nazaire (44) area, for large capacity commercial aircraft, in the overall market for aeronautical technical services, but also in pre-FAL assembly activities as well as in finishing activities;</w:t>
        <w:br/>
        <w:t>- in the Toulouse (31) area, for large capacity commercial aircraft, in the overall market for aeronautical technical services, but also in FAL assembly activities as well as in finishing activities.</w:t>
      </w:r>
    </w:p>
    <w:p>
      <w:r>
        <w:t>79. These market shares indicate that the parties are significant providers for the aerospace industry and particularly for the client Airbus, at its production sites in Nantes/Saint Nazaire and Toulouse, for large capacity commercial aircraft.</w:t>
      </w:r>
    </w:p>
    <w:p>
      <w:r>
        <w:t>80. However, the high level of the parties' market shares does not necessarily reveal significant market power. Indeed, a company's market power can be effectively limited by the bargaining power of buyers, provided that alternatives44 remain.</w:t>
      </w:r>
    </w:p>
    <w:p>
      <w:r>
        <w:t>81. It should be noted in this regard that demand in the market for aeronautical technical services is particularly concentrated. Indeed, the clients in these markets, within French territory, are Airbus, ATR, and Dassault. The importance of the countervailing power of these manufacturers is confirmed by the market test. Indeed, the majority of the parties' competitors considered that aircraft manufacturers generally have strong bargaining power. More specifically regarding the different markets for aeronautical technical services, for large capacity commercial aircraft, where the parties' activities overlap, [confidential]. Airbus thus holds a central position that grants it significant buyer power.</w:t>
      </w:r>
    </w:p>
    <w:p>
      <w:r>
        <w:t>82. Firstly, Airbus is the first and main client of each of the parties in terms of purchasing industrial services, but also across all activities. Thus, in 2021, AAA generated [confidential] % of its total revenue from Airbus, of which nearly [confidential] % was for aeronautical technical services alone. While Daher’s share of revenue from Airbus for aeronautical technical services is only [confidential] %, Airbus remains a very important client for Daher in its other activities. Thus, Airbus represented [confidential] % of Daher’s total revenue in 2021.</w:t>
      </w:r>
    </w:p>
    <w:p>
      <w:r>
        <w:t>83. Secondly, although Daher and AAA are significant suppliers to Airbus for aeronautical technical services, Airbus can exert significant competitive pressure on the parties even during the contract. Indeed, Airbus is first able to exert pricing pressure on its suppliers. [Confidential].</w:t>
      </w:r>
    </w:p>
    <w:p>
      <w:r>
        <w:t>84. Furthermore, Airbus is also capable of ceasing to engage one of these co-contractors during the contract. For example, [confidential]45.</w:t>
      </w:r>
    </w:p>
    <w:p>
      <w:r>
        <w:t>85. Airbus will be able to exert this competitive pressure because the parties face several competitors (Derichebourg Aeronautics Services, Simra Segula, Laroche Industries, Latécoère, and Safran) who are also active in a wide range of aeronautical technical services. Thus, at the time of renewing its tenders46 as well as during contracts, Airbus is able to maintain a certain balance in its supplies among different providers. In this context, it should also be noted that the majority of respondents to the market test stated that for a given service, aircraft manufacturers use several providers, for reasons of volume, but also to maintain the necessary skills among the different service providers and thus sustain a high level of competition among these providers during tenders.</w:t>
      </w:r>
    </w:p>
    <w:p>
      <w:r>
        <w:t>86. Thirdly, Airbus, which carries out some of these activities for its own account, is always able to re-internalize some of them if business relations become more difficult with its suppliers. This capacity of Airbus to re-internalize activities currently subcontracted has been widely mentioned by respondents to the market test.</w:t>
      </w:r>
    </w:p>
    <w:p>
      <w:r>
        <w:t>87. Thus, given the countervailing power of demand and the existing alternatives in the markets for aeronautical technical services, for large capacity commercial aircraft, where the parties are simultaneously active, the operation is not likely to harm competition through horizontal effects both at the national and local levels in this market.</w:t>
      </w:r>
    </w:p>
    <w:p>
      <w:r>
        <w:t>3. THE MARKETS FOR THE SUPPLY OF SPARE PARTS AND MRO SERVICES</w:t>
      </w:r>
    </w:p>
    <w:p>
      <w:r>
        <w:t>88. The parties' activities overlap only in the overall market for the supply of spare parts and MRO services, including all types of maintenance and all types of aircraft. In this market, the cumulative market shares of the parties are below 1% at the European and global levels.</w:t>
      </w:r>
    </w:p>
    <w:p>
      <w:r>
        <w:t>89. Therefore, the operation is not likely to harm competition through horizontal effects in the markets for the supply of spare parts and MRO services.</w:t>
      </w:r>
    </w:p>
    <w:p>
      <w:r>
        <w:t>B. ANALYSIS OF CONGLOMERATE EFFECTS</w:t>
      </w:r>
    </w:p>
    <w:p>
      <w:r>
        <w:t>90. A concentration is likely to have conglomerate effects when the new entity extends or strengthens its presence in markets that are connected to other markets where it holds market power. Some conglomerate concentrations can indeed produce restrictive effects on competition when they allow for the technical or commercial tying of the sales of the new entity's products in a way that locks the market and excludes competitors. However, it is unlikely that a concentration will pose a risk of conglomerate effect if the new entity does not have a strong position in a market from which it can leverage an effect.</w:t>
      </w:r>
    </w:p>
    <w:p>
      <w:r>
        <w:t>91. Decision-making practice generally holds that a risk of conglomerate effect can be ruled out as long as the market share of the company resulting from the operation in a relevant market does not exceed 30%47.</w:t>
      </w:r>
    </w:p>
    <w:p>
      <w:r>
        <w:t>92. In accordance with decision-making practice, the likelihood that the operation distorts competition through conglomerate effects is assessed based on (i) the ability to effectively implement a locking strategy, (ii) its incentive to implement such a strategy, and (iii) the effects of this strategy on the markets concerned.</w:t>
      </w:r>
    </w:p>
    <w:p>
      <w:r>
        <w:t>93. In this case, the operation will allow Daher to offer a broader range, on the one hand, of aeronautical technical services, and, on the other hand, of other services in the aerospace sector.</w:t>
      </w:r>
    </w:p>
    <w:p>
      <w:r>
        <w:t>1. BETWEEN THE DIFFERENT AERONAUTICAL TECHNICAL SERVICES</w:t>
      </w:r>
    </w:p>
    <w:p>
      <w:r>
        <w:t>94. In the market for aeronautical technical services, the cumulative market shares of the parties exceed 30% in the markets:</w:t>
        <w:br/>
        <w:t>- including all aeronautical technical services for large capacity commercial aircraft, on the one hand, and all aircraft combined, on the other hand, at the national level (respectively [40-50]% and [30-40]%) as well as for the Nantes/Saint-Nazaire ([40-50]%) and Toulouse (30-40%) areas;</w:t>
        <w:br/>
        <w:t>- for the assembly of aerostructure elements in pre-FAL for large capacity commercial aircraft, on the one hand, and all aircraft combined, on the other hand, at the national level (respectively 40-50% and 30-40%) as well as for the Nantes/Saint-Nazaire area (40-50%);</w:t>
        <w:br/>
        <w:t>- for the assembly of aerostructure elements in FAL for large capacity commercial aircraft, on the one hand, and all aircraft combined, on the other hand, at the national level (respectively 40-50% and 30-40%) as well as for the Toulouse area (40-50%); and</w:t>
        <w:br/>
        <w:t>- for finishing work ("OSW") for large capacity commercial aircraft, on the one hand, and all aircraft combined, on the other hand, at the national level (respectively [40-50]% and 30-40%) as well as for the Nantes/Saint-Nazaire ([50-60]%) and Toulouse ([30-40]%) areas.</w:t>
      </w:r>
    </w:p>
    <w:p>
      <w:r>
        <w:t xml:space="preserve">95. Furthermore, Daher and AAA each hold a market share of [30-40]% in the market for commercial outfitting services for large capacity commercial aircraft at the national level as well as in the Toulouse area. The market test also indicates that the parties will have a broader range of services than the majority of their competitors following the operation.  </w:t>
        <w:br/>
        <w:t>47 Guidelines of the Competition Authority regarding merger control, para. 678 and 720.</w:t>
      </w:r>
    </w:p>
    <w:p>
      <w:r>
        <w:rPr>
          <w:b/>
        </w:rPr>
        <w:t>[Pages 19–21]</w:t>
      </w:r>
    </w:p>
    <w:p>
      <w:r>
        <w:t xml:space="preserve">96. However, the parties will not have the capacity to implement a bundling strategy between the various technical aeronautical service offerings they provide. Indeed, as mentioned in paragraph 28 of this decision, the calls for tenders for the different technical aeronautical services provided by the parties are each subject to separate tenders by the aircraft manufacturers. Moreover, it appears from the responses to the market test that the tenders conducted by the aircraft manufacturers generally concern only one of their sites. Thus, the parties will not technically have the capacity to offer bundled offers.  </w:t>
        <w:br/>
        <w:t xml:space="preserve">97. Furthermore, as developed in points 80 and following of this decision, the market power of the parties following the operation will be greatly limited by the counter-power enjoyed by the aircraft manufacturers across all these markets. It should be noted in this regard that the aircraft manufacturers responding to the market test consider that it will not be possible for the parties to impose tied sales on them following the operation.  </w:t>
        <w:br/>
        <w:t xml:space="preserve">98. Thus, the operation is not likely to harm competition through conglomerate effects between the different markets for technical aeronautical services, as the parties do not have the capacity to implement bundling strategies between their various activities.  </w:t>
        <w:br/>
        <w:t xml:space="preserve">2. BETWEEN THE DIFFERENT ACTIVITIES OF THE PARTIES  </w:t>
        <w:br/>
        <w:t xml:space="preserve">99. The parties each provide a range of products and services other than technical aeronautical service offerings to aircraft manufacturers present in the territory. Daher and AAA both supply parts for aircraft. AAA provides engineering and technical study services, and Daher provides logistics services48.  </w:t>
        <w:br/>
        <w:t xml:space="preserve">100. While the individual or combined market shares of the parties are always below the 30% threshold in these other activities (supply of parts for aircraft, engineering and technical study services, or logistics services), they may exceed this threshold in certain market segments of technical aeronautical services (see points 94 and following). There is thus a risk that the parties may seek to leverage their relatively strong position in the market for technical aeronautical services by imposing conditions on their clients that would allow them to improve their position in other markets where their positions are less favorable. Tied sales, consisting of marketing these two categories of services together, may in particular limit competition in the markets where the parties have a less favorable position.  </w:t>
        <w:br/>
        <w:t xml:space="preserve">101. However, the parties will not have the capacity to implement a bundling strategy between technical aeronautical services and the other services they offer. First, as mentioned in paragraph 28, technical aeronautical services are subject to separate tenders from any other service by the aircraft manufacturers. The majority of respondents to the market test indicated that the tenders related to the supply of parts are entirely distinct from those concerning the various technical aeronautical service offerings49. Furthermore, one of the aircraft manufacturers pointed out that the tenders and contracts concerning technical aeronautical services and other services do not fall under the same contracting authorities within the framework of internal organization. Thus, the parties will not technically have the capacity to offer bundled offers.  </w:t>
        <w:br/>
        <w:t xml:space="preserve">102. In addition, as mentioned in paragraph 97, the parties' ability to tie different products or services will be limited by the counter-power that aircraft manufacturers have in these markets. The aircraft manufacturers responding to the market test consider that the parties will not have the capacity to impose tied sales on them.  </w:t>
        <w:br/>
        <w:t xml:space="preserve">103. Thus, the operation is not likely to harm competition through conglomerate effects between the different markets for technical aeronautical services and the other markets for services to aircraft manufacturers, as the parties do not have the capacity to implement bundling strategies.  </w:t>
        <w:br/>
        <w:t>49 It should be noted, however, that certain supply contracts concerning certain parts such as belly fairings may include their assembly.</w:t>
      </w:r>
    </w:p>
    <w:p>
      <w:r>
        <w:t xml:space="preserve">DECISION  </w:t>
        <w:br/>
        <w:t xml:space="preserve">Sole Article: The operation notified under number 23-014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