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https://www.autoritedelaconcurrence.fr/fr/decision-de-controle-des-concentrations/relative-la-prise-de-controle-exclusif-du-groupe-aurore</w:t>
      </w:r>
    </w:p>
    <w:p>
      <w:r>
        <w:t>Pages translated : 5</w:t>
      </w:r>
    </w:p>
    <w:p/>
    <w:p>
      <w:r>
        <w:rPr>
          <w:b/>
        </w:rPr>
        <w:t>[Pages 1–3]</w:t>
      </w:r>
    </w:p>
    <w:p>
      <w:r>
        <w:t>FRENCH REPUBLIC</w:t>
        <w:br/>
        <w:t>Decision No. 11-DCC-183 of December 2, 2011</w:t>
        <w:br/>
        <w:t>regarding the exclusive control of the Aurore-Poujaud group by</w:t>
        <w:br/>
        <w:t>the Altrad group</w:t>
        <w:br/>
        <w:t>The Competition Authority,</w:t>
        <w:br/>
        <w:t>Having regard to the notification file submitted in full to the concentrations service on</w:t>
        <w:br/>
        <w:t>October 26, 2011, regarding the exclusive control of the Aurore-Poujaud group by the</w:t>
        <w:br/>
        <w:t>Altrad group, formalized by a memorandum of understanding dated July 29, 2011;</w:t>
        <w:br/>
        <w:t>Having regard to Book IV of the Commercial Code relating to the freedom of prices and</w:t>
        <w:br/>
        <w:t>competition, and in particular its Articles L. 430-1 to L. 430-7;</w:t>
        <w:br/>
        <w:t>Having regard to the supplementary elements transmitted by the parties during the</w:t>
        <w:br/>
        <w:t>investigation;</w:t>
        <w:br/>
        <w:t>Adopts the following decision:</w:t>
        <w:br/>
        <w:t>I. The companies concerned and the operation</w:t>
        <w:br/>
        <w:t>1. Altrad Investment Authority, exclusively controlled by Mr. Altrad, is the parent holding</w:t>
        <w:br/>
        <w:t>company of the Altrad group. The Altrad group sells and rents equipment for construction</w:t>
        <w:br/>
        <w:t>and industry, whether for craftsmen, professionals, or local authorities, both in France and</w:t>
        <w:br/>
        <w:t>abroad. The group is particularly active in the French scaffolding sector, either as a supplier</w:t>
        <w:br/>
        <w:t>of scaffolding or in terms of rental and assembly services primarily for construction</w:t>
        <w:br/>
        <w:t>companies and, to a lesser extent, for those in the industrial sector.</w:t>
        <w:br/>
        <w:t>2. Aurore-Poujaud is a family group whose parent holding company is Aurore. The</w:t>
        <w:br/>
        <w:t>Aurore-Poujaud group is mainly active in the French market for scaffolding rental and</w:t>
        <w:br/>
        <w:t>assembly services in the industrial sector and, to a lesser extent, in the construction sector.</w:t>
        <w:br/>
        <w:t>3. Under the memorandum of understanding dated July 29, 2011, it is provided that the</w:t>
        <w:br/>
        <w:t>Altrad and Aurore-Poujaud groups will combine their respective activities in the scaffolding</w:t>
        <w:br/>
        <w:t>sector within a newly created company named Poujaud-Altrad. This merger involves Altrad</w:t>
        <w:br/>
        <w:t>Arnholdt, a subsidiary of the Altrad group, as well as all the subsidiaries that make up the</w:t>
        <w:br/>
        <w:t>Aurore-Poujaud group. The capital of the Poujaud-Altrad company will be held 55.9% by the</w:t>
        <w:br/>
        <w:t>Altrad group and 44.1% by the Aurore-Poujaud group. According to its statutes, the governance</w:t>
        <w:br/>
        <w:t>of the joint company will be ensured by a strategic committee composed of 6 members, 3 of</w:t>
        <w:br/>
        <w:t>whom will be appointed by the Altrad group and 3 others by the Aurore-Poujaud group. As the</w:t>
        <w:br/>
        <w:t>majority partner, the Altrad group also holds the right to appoint, from among its members,</w:t>
        <w:br/>
        <w:t>the chairman of the strategic committee. Since, on one hand, the decisions of the strategic</w:t>
        <w:br/>
        <w:t>committee are made according to the simple majority rule and, on the other hand, the</w:t>
        <w:br/>
        <w:t>chairman of the committee has a casting vote, it must be considered that the Poujaud-Altrad</w:t>
        <w:br/>
        <w:t>company will be exclusively controlled by the Altrad group. Upon completion of the operation,</w:t>
        <w:br/>
        <w:t>the Altrad group will therefore exercise exclusive control over the Aurore-Poujaud group.</w:t>
        <w:br/>
        <w:t>4. Insofar as it results in the exclusive control of the Aurore-Poujaud group by the Altrad</w:t>
        <w:br/>
        <w:t>group, the notified operation constitutes a concentration within the meaning of Article L. 430-1</w:t>
        <w:br/>
        <w:t>of the Commercial Code. The companies concerned have jointly achieved a consolidated</w:t>
        <w:br/>
        <w:t>turnover excluding taxes worldwide of more than 150 million euros during the last closed</w:t>
        <w:br/>
        <w:t>financial year (Altrad group: 417 million euros for the 2010 financial year; Aurore-Poujaud</w:t>
        <w:br/>
        <w:t>group: 76 million euros for the 2010 financial year). Each of these companies has achieved,</w:t>
        <w:br/>
        <w:t>in France, a turnover exceeding 50 million euros (Altrad group: 162 million euros for the</w:t>
        <w:br/>
        <w:t>2010 financial year; Aurore-Poujaud group: 75 million euros for the 2010 financial year).</w:t>
        <w:br/>
        <w:t>Given these turnover figures, the operation does not have a community dimension. On the</w:t>
        <w:br/>
        <w:t>other hand, the control thresholds mentioned in I of Article L. 430-2 of the Commercial Code</w:t>
        <w:br/>
        <w:t>are exceeded. This operation is therefore subject to the provisions of Articles L. 430-3 and</w:t>
        <w:br/>
        <w:t>following of the Commercial Code relating to economic concentration.</w:t>
        <w:br/>
        <w:t>II. Definition of the relevant markets</w:t>
        <w:br/>
        <w:t>5. The parties are simultaneously present in the downstream markets for scaffolding rental</w:t>
        <w:br/>
        <w:t>and assembly. The Altrad group is also active in the upstream market for the supply of</w:t>
        <w:br/>
        <w:t>scaffolding, which will be taken into account in the analysis of vertical effects.</w:t>
        <w:br/>
        <w:t>A. PRODUCT MARKETS</w:t>
        <w:br/>
        <w:t>6. Within the scaffolding sector, the notifying party proposes to make a first distinction</w:t>
        <w:br/>
        <w:t>between the upstream activity of scaffolding supply on one hand and the downstream services</w:t>
        <w:br/>
        <w:t>of scaffolding rental and assembly on the other hand.</w:t>
        <w:br/>
        <w:t>1. THE UPSTREAM MARKET FOR SCAFFOLDING SUPPLY</w:t>
        <w:br/>
        <w:t>7. According to the Altrad group, the upstream market for scaffolding supply includes the</w:t>
        <w:br/>
        <w:t>activities of selling and simply renting scaffolding, that is to say without assembly and</w:t>
        <w:br/>
        <w:t>disassembly services. This upstream market supplies, in the first instance, the various</w:t>
        <w:br/>
        <w:t>companies that then offer downstream clients rental and assembly-disassembly services for</w:t>
        <w:br/>
        <w:t>scaffolding. Secondly, the scaffolding supply market ensures the supply of companies carrying</w:t>
        <w:br/>
        <w:t>out work that does not require the assembly of complex scaffolding.</w:t>
        <w:br/>
        <w:t>2. DOWNSTREAM MARKETS FOR SCAFFOLDING RENTAL AND ASSEMBLY</w:t>
        <w:br/>
        <w:t>8. The notifying party notes that the downstream services of scaffolding rental and assembly</w:t>
        <w:br/>
        <w:t>are aimed at companies that need specialized actors, capable of offering scaffolding specific to</w:t>
        <w:br/>
        <w:t>their clients' requests and ensuring sophisticated assembly and disassembly.</w:t>
        <w:br/>
        <w:t>9. The Altrad group further observes that the downstream market for scaffolding rental and</w:t>
        <w:br/>
        <w:t>assembly services can in turn be segmented according to the sector of activity of the concerned</w:t>
        <w:br/>
        <w:t>clients, namely industry or construction. It indeed notes that the market for rental and</w:t>
        <w:br/>
        <w:t>assembly for the industry is organized based on framework contracts lasting from a few months</w:t>
        <w:br/>
        <w:t>to several years, by which specialized companies in this sector rent and install, for a clientele</w:t>
        <w:br/>
        <w:t>of major contractors (petrochemicals, nuclear, shipbuilding, refineries, agri-food, etc.), complex</w:t>
        <w:br/>
        <w:t>multidirectional scaffolding systems. These differ from facade scaffolding, used in the</w:t>
        <w:br/>
        <w:t>construction sector, by their technical characteristics, the regulatory constraints for acceptance</w:t>
        <w:br/>
        <w:t>and certification to which they are subject, and the specific assembly engineering they require.</w:t>
        <w:br/>
        <w:t>10. In this case, the exact delimitation of the downstream scaffolding markets can be left</w:t>
        <w:br/>
        <w:t>open, as the conclusions of the analysis remain unchanged regardless of the hypothesis retained.</w:t>
        <w:br/>
        <w:t>The analysis will therefore be conducted on the overall market for scaffolding rental and</w:t>
        <w:br/>
        <w:t>assembly and on the markets for scaffolding rental and assembly for the industry on one hand</w:t>
        <w:br/>
        <w:t>and construction on the other.</w:t>
        <w:br/>
        <w:t>B. GEOGRAPHICAL MARKETS</w:t>
        <w:br/>
        <w:t>11. According to the notifying party, the various upstream and downstream scaffolding markets</w:t>
        <w:br/>
        <w:t>are of national dimension. The Altrad group indeed observes that the main companies present</w:t>
        <w:br/>
        <w:t>in these markets have several sites distributed evenly across the national territory, in order to meet</w:t>
        <w:br/>
        <w:t>the demand of their various clients. According to the data provided in the notification form, the</w:t>
        <w:br/>
        <w:t>companies active in the scaffolding sector remain competitive, given the transport costs of</w:t>
        <w:br/>
        <w:t>equipment, within a radius of 400 kilometers in diameter, centered on the site of establishment.</w:t>
        <w:br/>
        <w:t>12. The analysis of the present operation will retain a national delimitation of the scaffolding</w:t>
        <w:br/>
        <w:t>markets. However, the exact geographical definition of these markets can be left open in the</w:t>
        <w:br/>
        <w:t>absence of competition issues.</w:t>
      </w:r>
    </w:p>
    <w:p>
      <w:r>
        <w:rPr>
          <w:b/>
        </w:rPr>
        <w:t>[Pages 4–5]</w:t>
      </w:r>
    </w:p>
    <w:p>
      <w:r>
        <w:t xml:space="preserve">III. Competitive Analysis  </w:t>
        <w:br/>
        <w:t xml:space="preserve">A. ANALYSIS OF HORIZONTAL EFFECTS  </w:t>
        <w:br/>
        <w:t xml:space="preserve">13. The Altrad and Aurore-Poujaud groups are simultaneously present only in the downstream markets of scaffolding rental and assembly.  </w:t>
        <w:br/>
        <w:t xml:space="preserve">14. In the overall market for scaffolding rental and assembly, encompassing both the industrial and construction sectors, the market share of the Altrad group is estimated in France at [5-10]% and that of the Aurore-Poujaud group at [10-20]%1. Following the transaction, the position of the Altrad group will thus be [10-20]%.  </w:t>
        <w:br/>
        <w:t xml:space="preserve">15. In the narrower market for scaffolding rental and assembly intended for the industry, the market share of the Altrad group is estimated at [0-5]% and that of the Aurore-Poujaud group at [10-20]%. Thus, following the transaction, the position of the Altrad group will be [10-20]%.  </w:t>
        <w:br/>
        <w:t xml:space="preserve">16. Finally, in the market for scaffolding rental and assembly intended for the construction sector, the market share of the Altrad group is estimated at [5-10]% and that of the Aurore-Poujaud group at [0-5]%. Thus, following the transaction, the position of the Altrad group will be [10-20]%.  </w:t>
        <w:br/>
        <w:t xml:space="preserve">17. After the completion of the notified concentration, the Altrad group will remain subject to competition from numerous companies present in the French markets for scaffolding rental and assembly, notably the Kaefer Wanner groups (whose position is estimated at [20-30]% in the industrial sector and at [5-10]% in the construction sector) and Prezioso Technilor (whose position is estimated at [5-10]% in the industrial sector and at [5-10]% in the construction sector).  </w:t>
        <w:br/>
        <w:t xml:space="preserve">18. In light of the above, the present operation is not likely to harm competition through horizontal effects in the downstream markets for scaffolding rental and assembly.  </w:t>
        <w:br/>
        <w:t xml:space="preserve">B. ANALYSIS OF VERTICAL EFFECTS  </w:t>
        <w:br/>
        <w:t xml:space="preserve">19. A vertical concentration can restrict competition by making access to the markets where the new entity will be active more difficult, or even potentially excluding competitors or penalizing them by increasing their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In this case, the Altrad group supplies scaffolding upstream, notably to companies that offer, downstream, rental and assembly services. It is therefore necessary to ensure that the new entity will not be able to lock access to the upstream market for the supply of scaffolding on one hand and, on the other hand, to downstream outlets.  </w:t>
        <w:br/>
        <w:t xml:space="preserve">1 All estimates provided by the notifying party were made based on the study "Scaffolding," published on June 30, 2011, by Plimsoll Publishing Ltd.  </w:t>
        <w:br/>
        <w:t xml:space="preserve">20. The decision-making practice of competition authorities generally dismisses these locking risks when the share of the company resulting from the operation in the relevant markets does not exceed 30%. In this case, the market share of the Altrad group in the upstream market for the supply of scaffolding is estimated at [10-20]%. Furthermore, as previously indicated, the position of the new entity will be below 20% in the various downstream markets for scaffolding rental and assembly. The notifying party also notes that regulatory texts2 prohibit in France the mixing of materials from different origins and brands. However, the scaffolding fleet of the Aurore-Poujaud group is composed of 80% Layher brand products, a competitor of the Altrad group and therefore incompatible with the scaffolding supplied by the latter.  </w:t>
        <w:br/>
        <w:t xml:space="preserve">21. In light of the above, the present operation is not likely to harm competition through vertical effects.  </w:t>
        <w:br/>
        <w:t xml:space="preserve">DECIDES  </w:t>
        <w:br/>
        <w:t xml:space="preserve">Sole Article: The operation notified under number 11-0146 is authorized.  </w:t>
        <w:br/>
        <w:t xml:space="preserve">The Vice-President,  </w:t>
        <w:br/>
        <w:t xml:space="preserve">Françoise Aubert  </w:t>
        <w:br/>
        <w:t xml:space="preserve">Competition Authority  </w:t>
        <w:br/>
        <w:t>2 See Decree No. 2004-924 of September 1, 2004, relating to the use of work equipment made available for temporary work at height and amending the Labor Code and Decree No. 65-48 of January 8, 1965. See also the order of December 21, 2004, relating to the inspections of scaffolding and Circular DRT 2005/08 of June 27, 2005, relating to the implementation of the decree of September 1, 2004, and the order of December 21, 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