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https://www.autoritedelaconcurrence.fr/fr/decision-de-controle-des-concentrations/relative-la-prise-de-controle-exclusif-du-groupe-axelliance</w:t>
      </w:r>
    </w:p>
    <w:p>
      <w:r>
        <w:t>Pages translated : 2</w:t>
      </w:r>
    </w:p>
    <w:p/>
    <w:p>
      <w:r>
        <w:rPr>
          <w:b/>
        </w:rPr>
        <w:t>[Pages 1–2]</w:t>
      </w:r>
    </w:p>
    <w:p>
      <w:r>
        <w:t xml:space="preserve">FRENCH REPUBLIC  </w:t>
        <w:br/>
        <w:t xml:space="preserve">Decision No. 17-DCC-83 of June 12, 2017  </w:t>
        <w:br/>
        <w:t xml:space="preserve">regarding the exclusive control acquisition of the Axelliance group by the  </w:t>
        <w:br/>
        <w:t xml:space="preserve">company LFPI  </w:t>
        <w:br/>
        <w:t xml:space="preserve">The Competition Authority,  </w:t>
        <w:br/>
        <w:t xml:space="preserve">Having regard to the complete notification file submitted to the mergers department on May 12, 2017,  </w:t>
        <w:br/>
        <w:t xml:space="preserve">concerning the exclusive control acquisition of the Axelliance group by the company La Financière  </w:t>
        <w:br/>
        <w:t xml:space="preserve">Patrimoniale d’Investissement (LFPI), formalized by a unilateral purchase promise countersigned on April 28,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LFPI of the Axelliance group, which is active in the insurance brokerage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17-096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