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https://www.autoritedelaconcurrence.fr/fr/decision-de-controle-des-concentrations/relative-la-prise-de-controle-exclusif-du-groupe-axialease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24-DCC-83 of April 25, 2024  </w:t>
        <w:br/>
        <w:t xml:space="preserve">regarding the exclusive control acquisition of the Axialease group by the  </w:t>
        <w:br/>
        <w:t xml:space="preserve">Manuloc group  </w:t>
        <w:br/>
        <w:t xml:space="preserve">The Competition Authority,  </w:t>
        <w:br/>
        <w:t xml:space="preserve">Having regard to the complete notification file submitted to the mergers department on March 29, 2024,  </w:t>
        <w:br/>
        <w:t xml:space="preserve">concerning the exclusive control acquisition by the Manuloc group of the Axialease group, formalized  </w:t>
        <w:br/>
        <w:t xml:space="preserve">by a share purchase agreement dated March 18, 2024.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Manuloc group of the Axialease group, active in the equipment leasing financing sector. The operation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24-047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