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https://www.autoritedelaconcurrence.fr/fr/decision-de-controle-des-concentrations/relative-la-prise-de-controle-exclusif-du-groupe-axter-par</w:t>
      </w:r>
    </w:p>
    <w:p>
      <w:r>
        <w:t>Pages translated : 2</w:t>
      </w:r>
    </w:p>
    <w:p/>
    <w:p>
      <w:r>
        <w:rPr>
          <w:b/>
        </w:rPr>
        <w:t>[Pages 1–2]</w:t>
      </w:r>
    </w:p>
    <w:p>
      <w:r>
        <w:t xml:space="preserve">FRENCH REPUBLIC  </w:t>
        <w:br/>
        <w:t xml:space="preserve">Decision No. 21-DCC-17 of February 2, 2021  </w:t>
        <w:br/>
        <w:t xml:space="preserve">regarding the exclusive control acquisition of the Axter group by the company  </w:t>
        <w:br/>
        <w:t xml:space="preserve">IKO Europe NV  </w:t>
        <w:br/>
        <w:t xml:space="preserve">The Competition Authority,  </w:t>
        <w:br/>
        <w:t xml:space="preserve">Having regard to the complete notification file submitted to the mergers department on January 11, 2021,  </w:t>
        <w:br/>
        <w:t xml:space="preserve">concerning the exclusive control acquisition of the Axter group by the company IKO Europe NV, formalized  </w:t>
        <w:br/>
        <w:t xml:space="preserve">by a share transfer agreement dated October 26,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transaction consists of the exclusive control acquisition by the company IKO Europe NV of the  </w:t>
        <w:br/>
        <w:t xml:space="preserve">Axter group, primarily active in the sector of manufacturing and marketing of sealing materials.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20-251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