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https://www.autoritedelaconcurrence.fr/fr/decision-de-controle-des-concentrations/relative-la-prise-de-controle-exclusif-du-groupe-ayming-par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25-DCC-28 of February 5, 2025  </w:t>
        <w:br/>
        <w:t xml:space="preserve">regarding the exclusive control acquisition of the Ayming group  </w:t>
        <w:br/>
        <w:t xml:space="preserve">by the company Andera Partners  </w:t>
        <w:br/>
        <w:t xml:space="preserve">The Competition Authority,  </w:t>
        <w:br/>
        <w:t xml:space="preserve">Having regard to the complete notification file submitted to the mergers department on January 17, 2025,  </w:t>
        <w:br/>
        <w:t xml:space="preserve">concerning the exclusive control acquisition of the Ayming group by the company Andera Partners  </w:t>
        <w:br/>
        <w:t xml:space="preserve">formalized by an investment and transfer protocol concluded on January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Andera Partners SAS, of  </w:t>
        <w:br/>
        <w:t xml:space="preserve">the entirety of the capital and voting rights of the companies F-L-Ayming SAS and its subsidiaries,  </w:t>
        <w:br/>
        <w:t xml:space="preserve">which form the Ayming group, active in the markets of consulting, auditing, and  </w:t>
        <w:br/>
        <w:t xml:space="preserve">expertise services for businesses as well as in the markets of education and  </w:t>
        <w:br/>
        <w:t xml:space="preserve">professional training1. This operation constitutes a concentration within the meaning of Article L. 430-1 of  </w:t>
        <w:br/>
        <w:t xml:space="preserve">the Commercial Code. Given the turnover generated by the companies concerned,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 xml:space="preserve">1 The scope of the operation also includes the exclusive control acquisition of the fund management company Further Together, which has  </w:t>
        <w:br/>
        <w:t>no other activity than holding a minority stake in the capital of the company F-L-Ayming.</w:t>
      </w:r>
    </w:p>
    <w:p>
      <w:r>
        <w:t xml:space="preserve">DECIDES  </w:t>
        <w:br/>
        <w:t xml:space="preserve">Sole Article: The operation notified under number 25-003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