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https://www.autoritedelaconcurrence.fr/fr/decision-de-controle-des-concentrations/relative-la-prise-de-controle-exclusif-du-groupe-b2c-par-la</w:t>
      </w:r>
    </w:p>
    <w:p>
      <w:r>
        <w:t>Pages translated : 2</w:t>
      </w:r>
    </w:p>
    <w:p/>
    <w:p>
      <w:r>
        <w:rPr>
          <w:b/>
        </w:rPr>
        <w:t>[Pages 1–2]</w:t>
      </w:r>
    </w:p>
    <w:p>
      <w:r>
        <w:t xml:space="preserve">FRENCH REPUBLIC  </w:t>
        <w:br/>
        <w:t xml:space="preserve">Decision No. 24-DCC-286 of December 17, 2024  </w:t>
        <w:br/>
        <w:t xml:space="preserve">regarding the exclusive control acquisition of the B2C group by the company  </w:t>
        <w:br/>
        <w:t xml:space="preserve">Groupe Berto  </w:t>
        <w:br/>
        <w:t>The Competition Authority,</w:t>
      </w:r>
    </w:p>
    <w:p>
      <w:r>
        <w:t>Having regard to the complete notification file submitted to the mergers department on December 2, 2024, concerning the exclusive control acquisition of the B2C group by the company Groupe Berto formalized by a letter of intent dated July 18, 2024, a firm offer dated November 3, 2024, and a confirmatory offer dated November 6, 2024;</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the company Groupe Berto of 100% of the shares of the company Financière B2C, which holds 99.94% of the shares of SAS Locarmor, itself holding 60% of the shares of SCI Kererven. These three target companies together form the B2C group, which notably offers rental, sale, and repair and maintenance services for construction equipment in Brittany and the Pays de la Loire. This operation constitutes a concentration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24-309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