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https://www.autoritedelaconcurrence.fr/fr/decision-de-controle-des-concentrations/relative-la-prise-de-controle-exclusif-du-groupe-babeau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11-DCC-170 of November 24, 2011  </w:t>
        <w:br/>
        <w:t xml:space="preserve">regarding the exclusive control acquisition of the Babeau Seguin group by  </w:t>
        <w:br/>
        <w:t xml:space="preserve">NiXEN Partners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9, 2011, concerning the exclusive control acquisition of the Babeau Seguin group by NiXEN  </w:t>
        <w:br/>
        <w:t xml:space="preserve">Partners;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Babeau Seguin group, active  </w:t>
        <w:br/>
        <w:t xml:space="preserve">in the real estate services sector, by NiXEN Partners, an independent management company  </w:t>
        <w:br/>
        <w:t xml:space="preserve">holding interests in various sectors, including catering, freight transport, clothing, bedding articles, and music. It constitutes  </w:t>
        <w:br/>
        <w:t xml:space="preserve">a concentration operation within the meaning of Article L. 430-1 of the Commercial Code. Given  </w:t>
        <w:br/>
        <w:t xml:space="preserve">the turnover generated by the companies concerned, the operation does not have  </w:t>
        <w:br/>
        <w:t xml:space="preserve">a community dimension. On the other hand, the control thresholds related to concentration operations mentioned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11-0206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