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https://www.autoritedelaconcurrence.fr/fr/decision-de-controle-des-concentrations/relative-la-prise-de-controle-exclusif-du-groupe-babilou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20-DCC-134 of October 12, 2020</w:t>
        <w:br/>
        <w:t>regarding the exclusive control acquisition of the Babilou group by the company</w:t>
        <w:br/>
        <w:t>Antin Infrastructure Partners</w:t>
        <w:br/>
        <w:t>The Competition Authority,</w:t>
        <w:br/>
        <w:t>Having regard to the complete notification file submitted to the mergers department on</w:t>
        <w:br/>
        <w:t>September 24, 2020, concerning the exclusive control acquisition of the company Babilou Participations</w:t>
        <w:br/>
        <w:t>by the company Antin Infrastructure Partners, formalized by a share transfer agreement dated</w:t>
        <w:br/>
        <w:t>September 16, 2020;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exclusive control acquisition of the company Babilou Participations,</w:t>
        <w:br/>
        <w:t>primarily active in the sector of creation, animation, and management of nurseries, by investment funds managed by the company Antin Infrastructure Partners. It constitutes a concentration operation within the meaning of Article L. 430-1 of the Commercial Code.</w:t>
        <w:br/>
        <w:t>Given the turnover achieved by the companies concerned, the operation does not fall under the jurisdiction of the European Union. On the other hand, the control thresholds mentioned in point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20-173 is authorized.</w:t>
        <w:br/>
        <w:t>The Vice-President,</w:t>
        <w:br/>
        <w:t>Fabienne Siredey-Garnier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