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https://www.autoritedelaconcurrence.fr/fr/decision-de-controle-des-concentrations/relative-la-prise-de-controle-exclusif-du-groupe-bacacier</w:t>
      </w:r>
    </w:p>
    <w:p>
      <w:r>
        <w:t>Pages translated : 7</w:t>
      </w:r>
    </w:p>
    <w:p/>
    <w:p>
      <w:r>
        <w:rPr>
          <w:b/>
        </w:rPr>
        <w:t>[Pages 1–3]</w:t>
      </w:r>
    </w:p>
    <w:p>
      <w:r>
        <w:t xml:space="preserve">FRENCH REPUBLIC  </w:t>
        <w:br/>
        <w:t xml:space="preserve">Decision No. 19-DCC-203 of October 28, 2019  </w:t>
        <w:br/>
        <w:t xml:space="preserve">regarding the exclusive control of the Bacacier group by  </w:t>
        <w:br/>
        <w:t xml:space="preserve">Kingspan Group  </w:t>
        <w:br/>
        <w:t xml:space="preserve">The Competition Authority,  </w:t>
        <w:br/>
        <w:t xml:space="preserve">Having regard to the notification file submitted in full to the merger service on September 24, 2019, regarding the acquisition of control of the Bacacier group by Kingspan Group, formalized by the share purchase agreement dated July 30, 2019;  </w:t>
        <w:br/>
        <w:t xml:space="preserve">Having regard to Book IV of the Commercial Code relating to price freedom and competition, and in particular Articles L. 430-1 to L. 430-7;  </w:t>
        <w:br/>
        <w:t xml:space="preserve">Adopts the following decision:  </w:t>
        <w:br/>
        <w:t xml:space="preserve">I. The companies concerned and the transaction  </w:t>
        <w:br/>
        <w:t xml:space="preserve">1. Kingspan Group (hereinafter "Kingspan" or "the acquirer") is a company listed on the Irish stock exchange that manufactures sustainable products for the construction sector. Kingspan's main activities include the manufacture of sandwich panels1, insulation products, lighting and ventilation solutions, systems for controlled environments, and technical flooring. Kingspan operates in Europe, the Far East, and the United States, in more than 70 countries. In France, Kingspan is active in the production and supply of profiled metal sheets through its wholly-owned subsidiary, Joris Ide.  </w:t>
        <w:br/>
        <w:t xml:space="preserve">2. The Bacacier group (hereinafter "Bacacier" or "the target") is primarily active in the production and supply of profiled metal sheets from several production plants in France. These sheets are mainly sold under the "Bacacier" brand. In addition, the target is active in the field of bending and the production of flat sheets and purlins. The target also manufactures blackout panels and fence posts through its wholly-owned subsidiary Bacacier Industries, as well as mounting systems for photovoltaic modules through its 50%-owned subsidiary Dome Solar. Furthermore, the target distributes steel products as well as the following construction materials manufactured by third parties: sandwich panels, translucent sheets, smoke evacuation systems, fasteners, waterproofing solutions for flat roofs, tools and hardware for waterproofing specialists, and personal or collective protective equipment.  </w:t>
        <w:br/>
        <w:t xml:space="preserve">3. The transaction, formalized by a share acquisition agreement signed on July 30, 2019, involves the acquisition by Kingspan of [80-90]% of Bacacier's capital.  </w:t>
        <w:br/>
        <w:t xml:space="preserve">4. As it results in the exclusive control of Bacacier by Kingspan, the notified transaction constitutes a concentration within the meaning of Article L. 430-1 of the Commercial Code.  </w:t>
        <w:br/>
        <w:t xml:space="preserve">5. The companies concerned together achieve a total worldwide turnover of more than 150 million euros (Kingspan Group: 4,372 million euros for the fiscal year ending December 31, 2018; Bacacier Group: [≥150] million euros for the fiscal year ending March 31, 2019). Each of these companies achieves, in France, a turnover exceeding 50 million euros (Kingspan Group: [≥50] million euros for the fiscal year ending December 31, 2018; Bacacier Group: [≥50] million euros for the fiscal year ending March 31, 2019). Given these turnover figures, the transaction does not have a European dimension.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Definition of the relevant markets  </w:t>
        <w:br/>
        <w:t xml:space="preserve">6. The parties are simultaneously active primarily in the sectors of production and marketing of profiled metal sheets and flat and finished carbon steel products2.  </w:t>
        <w:br/>
        <w:t xml:space="preserve">A. THE MARKET FOR THE PRODUCTION AND MARKETING OF PROFILED METAL SHEETS  </w:t>
        <w:br/>
        <w:t xml:space="preserve">1. PRODUCT MARKET  </w:t>
        <w:br/>
        <w:t xml:space="preserve">7. Profiled metal sheets are generally manufactured from pre-painted galvanized coils that come in a wide variety of types and shapes. There may be different end uses for profiled metal sheets: for cladding, for support, and for roofing.  </w:t>
        <w:br/>
        <w:t xml:space="preserve">8. The European Commission has estimated that there is a strong substitutability on the supply side between profiled metal sheets for roofing, cladding, and support, and concluded that it is not relevant to distinguish them3.  </w:t>
        <w:br/>
        <w:t xml:space="preserve">9. Profiled metal sheets can be produced on the same production lines, regardless of their final application. Thus, the parties and the majority of their competitors produce profiled metal sheets intended for the various possible end applications on the same production lines in France and can at any time use their free capacities or change their production lines from support sheets or cladding sheets to roofing sheets, for example.  </w:t>
        <w:br/>
        <w:t xml:space="preserve">10. The notifying party considers that profiled metal sheets are highly standardized products with very few possibilities for product differentiation and generally identical profiles. For example, Kingspan sells the same profiled metal sheet for roofing and for cladding. Customization only occurs for ancillary characteristics of the product such as size, shape, or color.  </w:t>
        <w:br/>
        <w:t xml:space="preserve">11. Market tests conducted during the investigation with the parties' customers and competitors confirmed the absence of market segmentation in the production and marketing of profiled metal sheets. Even though the parties' customers indicated that quality, price4, and certain technical and aesthetic characteristics were part of the consumer choice criteria, they mostly indicated that all suppliers were able to offer solutions that met their needs.  </w:t>
        <w:br/>
        <w:t xml:space="preserve">12. It follows from the above that the relevant market is that of the production and marketing of profiled metal sheets, without the need to recognize the existence of distinct product market segments.  </w:t>
        <w:br/>
        <w:t xml:space="preserve">2. GEOGRAPHIC MARKET  </w:t>
        <w:br/>
        <w:t xml:space="preserve">13. The Commission has retained a national or supranational geographic dimension for this market, depending on the size of the countries5.  </w:t>
        <w:br/>
        <w:t xml:space="preserve">14. According to the notifying party, the market may have strong regional or local characteristics. It estimates that the relevant market is likely to be narrower than the French territory and therefore infranational. It considers that the delivery of profiled metal sheets can be made within a radius of less than [confidential] kilometers around each plant.  </w:t>
        <w:br/>
        <w:t xml:space="preserve">15. However, market tests conducted during the investigation with the parties' customers and competitors indicated that the majority of competitors deliver a large proportion of profiled metal sheets well beyond the delivery area proposed by the parties. Moreover, the majority of competitors, like the parties, have a sales team dedicated to the national territory.  </w:t>
        <w:br/>
        <w:t xml:space="preserve">16. Consequently, the analysis will be conducted at the national level.  </w:t>
        <w:br/>
        <w:t xml:space="preserve">B. THE MARKET FOR THE PRODUCTION AND SUPPLY OF FLAT AND FINISHED CARBON STEEL PRODUCTS  </w:t>
        <w:br/>
        <w:t xml:space="preserve">1. PRODUCT MARKET  </w:t>
        <w:br/>
        <w:t xml:space="preserve">17. Within steel products, the Commission distinguished, based on the chemical composition of the steel, (i) carbon steel, (ii) stainless steel, (iii) specialty steel, and (iv) electrical steel, with an additional distinction between semi-finished and finished products. Within finished products, the Commission identified distinct markets for flat steel products and for long steel products. A distinction  </w:t>
        <w:br/>
        <w:t xml:space="preserve">4 The average price per m² of profiled metal sheets is similar regardless of their technical characteristics and final destination, approximately [confidential] EUR per m².  </w:t>
        <w:br/>
        <w:t>5 In the case of SSAB/Rautaruukki, the Commission rejected the parties' position in the concentration that the relevant market was broader than national and encompassed Scandinavia. In this case, the Commission concluded that the markets were of national dimension. See the European Commission decision COMP/M.7155, SSAB/Rautaruukki, paragraphs 116-124.</w:t>
      </w:r>
    </w:p>
    <w:p>
      <w:r>
        <w:rPr>
          <w:b/>
        </w:rPr>
        <w:t>[Pages 4–6]</w:t>
      </w:r>
    </w:p>
    <w:p>
      <w:r>
        <w:t xml:space="preserve">additional within flat steel products can be made based on the different stages of the production process. Indeed, according to the Commission, the following carbon flat and finished steel products constitute distinct product markets: (i) quarto plates (thick plates), (ii) hot-rolled flat steel products, (iii) cold-rolled flat steel products, (iv) galvanized flat steel products, (v) metal-coated flat steel products for packaging, and (vi) organically coated flat steel products6. In describing the relevant market for flat steel products, the Commission indicated, for example, that flat steel products are manufactured in the form of coils but can also be cut and supplied in different forms such as strips and sheets7.  </w:t>
        <w:br/>
        <w:t xml:space="preserve">18. The notifying party argues that flat sheets8, bends9, and purlins10 are part of the broader market for the production and supply of steel, and more specifically, the market for the production and supply of carbon flat and finished steel products.  </w:t>
        <w:br/>
        <w:t xml:space="preserve">19. According to European decision-making practice, there is no distinct market for these different products. The Commission thus estimated that flat steel products manufactured in the form of coils can also be cut and supplied in different forms.  </w:t>
        <w:br/>
        <w:t xml:space="preserve">20. In any case, the exact delineation of these markets can be left open, with the conclusions of the competitive analysis remaining unchanged, regardless of the delineations adopted.  </w:t>
        <w:br/>
        <w:t xml:space="preserve">2. GEOGRAPHIC MARKET  </w:t>
        <w:br/>
        <w:t xml:space="preserve">21. The Commission thus estimated that the market for flat and finished carbon steel products was of European dimension, with, however, indications of geographical differentiation11.  </w:t>
        <w:br/>
        <w:t xml:space="preserve">22. In this case, the analysis will be conducted on the European market.  </w:t>
        <w:br/>
        <w:t xml:space="preserve">C. THE MARKET FOR THE PRODUCTION AND MARKETING OF MOUNTING SYSTEMS FOR PHOTOVOLTAIC MODULES  </w:t>
        <w:br/>
        <w:t xml:space="preserve">1. PRODUCT MARKET  </w:t>
        <w:br/>
        <w:t xml:space="preserve">23. Mounting systems for photovoltaic modules are aluminum rails used to mount photovoltaic modules on surfaces. There is a wide variety of mounting systems that are generally custom-made based on, among other things, (i) the final application (for example, roof or ground mounting); (ii) the photovoltaic modules; and (iii) the construction solution used.  </w:t>
        <w:br/>
        <w:t xml:space="preserve">6 See the European Commission decisions COMP/M.8444, ArcelorMittal/Ilva, paragraphs 198-200; COMP/M.8159, ArcelorMittal/Cellino/JV, paragraphs 13-15; COMP/M.7461, AMDS Italia/CLN/JV; COMP/M.7155, SSAB/Rautaruukki; COMP/M.5545, ArcelorMittal/Noble European Holding; COMP/M.5072, AMSSC/BE Group/JV; COMP/M.4137, Mittal/Arcelor; COMP/ECSC.1351, Usinor/Arbed/Aceralia.  </w:t>
        <w:br/>
        <w:t xml:space="preserve">7 See the European Commission decision COMP/M.6471, Outokumpu/INOXUM, paragraph 68.  </w:t>
        <w:br/>
        <w:t xml:space="preserve">8 Flat sheets are coils of galvanized or organically coated carbon steel that have been unrolled, flattened, and then cut.  </w:t>
        <w:br/>
        <w:t xml:space="preserve">9 Bends are based on a very simple process of bending steel (flat sheets) into different shapes.  </w:t>
        <w:br/>
        <w:t xml:space="preserve">10 Purlins are rolled shapes of flat steel sheets that are used as structural support in buildings.  </w:t>
        <w:br/>
        <w:t xml:space="preserve">11 See, for example, the European Commission decision COMP/M.8444 ArcelorMittal/Ilva, paragraphs 304-389. Regarding the Nordic countries (i.e., Finland, Sweden, and Norway), the Commission, however, considered that it is highly likely that the geographical dimension of the markets for carbon flat steel products only includes the Nordic countries.  </w:t>
        <w:br/>
        <w:t xml:space="preserve">24. The parties only produce mounting systems that are used to mount photovoltaic modules on roofs, and more specifically, on roofs with profiled metal sheets.  </w:t>
        <w:br/>
        <w:t xml:space="preserve">25. The parties believe that it is preferable to adopt a broad definition of the market, as the basic structure, manufacturing process, and inputs of all mounting systems are identical. The necessary adjustments to adapt the mounting systems to specific end-use applications do not require technical or financial investments.  </w:t>
        <w:br/>
        <w:t xml:space="preserve">26. In this case, the question of the precise segmentation of this market can remain open, with the conclusions of the competitive analysis remaining unchanged, regardless of the segmentation adopted.  </w:t>
        <w:br/>
        <w:t xml:space="preserve">2. GEOGRAPHIC MARKET  </w:t>
        <w:br/>
        <w:t xml:space="preserve">27. The European Commission has adopted a global dimension for the market for the production and supply of photovoltaic modules12.  </w:t>
        <w:br/>
        <w:t xml:space="preserve">28. The parties believe that it may be conceivable that the geographic market for the production and supply of mounting systems is national, given the customization that generally needs to be performed based on the building.  </w:t>
        <w:br/>
        <w:t xml:space="preserve">29. In this case, the question of the geographical delineation of the market can be left open, with the conclusions of the competitive analysis remaining unchanged, regardless of the segmentation adopted. The analysis will be conducted at the national level.  </w:t>
        <w:br/>
        <w:t xml:space="preserve">III. Competitive Analysis  </w:t>
        <w:br/>
        <w:t xml:space="preserve">30. The combined market share of the parties, following the transaction, in the market for profiled metal sheets will be approximately 40%. They will, however, face competition from several strong operators, including ArcelorMittal, the current market leader with an estimated market share of about 35-40%, and other suppliers with multiple sites in France such as TataSteel (Monopanel), SPO, or Cisabac. ArcelorMittal and TataSteel also have a competitive advantage over the new entity, as they produce the steel that is the main input for profiled metal sheets. Steel indeed represents [confidential] of average total costs.  </w:t>
        <w:br/>
        <w:t xml:space="preserve">31. The market test conducted with customers reveals that they generally source profiled metal sheets from multiple suppliers and do not incur significant costs when switching suppliers. Customers have no difficulty transferring all or part of their needs to other suppliers and would, in particular, be able to do so if the entity resulting from the concentration were to raise its prices.  </w:t>
        <w:br/>
        <w:t xml:space="preserve">32. Furthermore, there are significant unused production capacities. For the whole of France, the market test indicates that the share of unused capacity of the competitors' plants varies, depending on the competitors, from 30 to 70%.  </w:t>
        <w:br/>
        <w:t xml:space="preserve">12 See the European Commission decisions COMP/M.2712, Electrabel/Totalfinaelf/Photovoltech, paragraph 16; COMP/M.2367, Siemens/E.ON/Shell/SSG, paragraph 13. See also COMP/M.7816, EGP/F2I/JV, paragraph 31, in which the Commission left the market definition open.  </w:t>
        <w:br/>
        <w:t xml:space="preserve">33. Finally, the barriers to entry are low. Existing suppliers can easily increase their production, while new suppliers can easily enter the market, either by adding production lines to existing steel production sites or by creating new production sites.  </w:t>
        <w:br/>
        <w:t xml:space="preserve">34. Consequently, the transaction is not likely to harm competition through horizontal effects in the market for the production and marketing of profiled metal sheets.  </w:t>
        <w:br/>
        <w:t xml:space="preserve">35. In the markets for the production and supply of flat and finished carbon steel products and for the production and marketing of mounting systems for photovoltaic modules, the new entity will have market shares well below 25%, regardless of the exact delineation of the relevant markets.  </w:t>
        <w:br/>
        <w:t xml:space="preserve">36. Given these limited market shares, the transaction is not likely to harm competition through horizontal effects in these markets.  </w:t>
        <w:br/>
        <w:t>37. Therefore, the transaction is not likely to harm competition across all of these markets.</w:t>
      </w:r>
    </w:p>
    <w:p>
      <w:r>
        <w:rPr>
          <w:b/>
        </w:rPr>
        <w:t>[Pages 7–7]</w:t>
      </w:r>
    </w:p>
    <w:p>
      <w:r>
        <w:t xml:space="preserve">DECIDES  </w:t>
        <w:br/>
        <w:t xml:space="preserve">Sole Article: The transaction notified under number 19-176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