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https://www.autoritedelaconcurrence.fr/fr/decision-de-controle-des-concentrations/relative-la-prise-de-controle-exclusif-du-groupe-barkene</w:t>
      </w:r>
    </w:p>
    <w:p>
      <w:r>
        <w:t>Pages translated : 2</w:t>
      </w:r>
    </w:p>
    <w:p/>
    <w:p>
      <w:r>
        <w:rPr>
          <w:b/>
        </w:rPr>
        <w:t>[Pages 1–2]</w:t>
      </w:r>
    </w:p>
    <w:p>
      <w:r>
        <w:t xml:space="preserve">FRENCH REPUBLIC  </w:t>
        <w:br/>
        <w:t xml:space="preserve">Decision No. 26-DCC-117 of May 11, 2026  </w:t>
        <w:br/>
        <w:t xml:space="preserve">regarding the exclusive control acquisition of the Barkene group  </w:t>
        <w:br/>
        <w:t xml:space="preserve">by Astorg Asset Management  </w:t>
        <w:br/>
        <w:t xml:space="preserve">The Competition Authority,  </w:t>
        <w:br/>
        <w:t xml:space="preserve">Having regard to the complete notification file sent to the mergers department on April 17, 2026,  </w:t>
        <w:br/>
        <w:t xml:space="preserve">concerning the exclusive control acquisition of the Barkene group by Astorg Asset Management, formalized by a unilateral purchase promise dated March 26, 2026;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Astorg Asset Management, of the Barkene group, specialized in installation and maintenance services of electronic security equipment, fire safety, automatic doors, and closing automation as well as remote monitoring and security audit services.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26-099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