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https://www.autoritedelaconcurrence.fr/fr/decision-de-controle-des-concentrations/relative-la-prise-de-controle-exclusif-du-groupe-bash-par</w:t>
      </w:r>
    </w:p>
    <w:p>
      <w:r>
        <w:t>Pages translated : 2</w:t>
      </w:r>
    </w:p>
    <w:p/>
    <w:p>
      <w:r>
        <w:rPr>
          <w:b/>
        </w:rPr>
        <w:t>[Pages 1–2]</w:t>
      </w:r>
    </w:p>
    <w:p>
      <w:r>
        <w:t xml:space="preserve">FRENCH REPUBLIC  </w:t>
        <w:br/>
        <w:t xml:space="preserve">Decision No. 22-DCC-75 of May 10, 2022  </w:t>
        <w:br/>
        <w:t xml:space="preserve">regarding the exclusive control acquisition of the ba&amp;sh group by the company  </w:t>
        <w:br/>
        <w:t xml:space="preserve">HLD Europe  </w:t>
        <w:br/>
        <w:t>The Competition Authority,</w:t>
      </w:r>
    </w:p>
    <w:p>
      <w:r>
        <w:t xml:space="preserve">Having regard to the complete notification file sent to the mergers department on April 12, 2022,  </w:t>
        <w:br/>
        <w:t xml:space="preserve">concerning the exclusive control acquisition of the company Financière ba&amp;sh by the company HLD Europe,  </w:t>
        <w:br/>
        <w:t>formalized by a share purchase agreement dated March 22, 2022;</w:t>
      </w:r>
    </w:p>
    <w:p>
      <w:r>
        <w:t xml:space="preserve">Having regard to Book IV of the Commercial Code relating to the freedom of prices and competition, and  </w:t>
        <w:br/>
        <w:t>notably its Articles L. 430-1 to L. 430-7;</w:t>
      </w:r>
    </w:p>
    <w:p>
      <w:r>
        <w:t>Having regard to the elements provided by the notifying party during the investigation;</w:t>
      </w:r>
    </w:p>
    <w:p>
      <w:r>
        <w:t xml:space="preserve">Adopts the following decision:  </w:t>
        <w:br/>
        <w:t xml:space="preserve">1. The notified operation consists of the exclusive control acquisition by the company HLD Europe,  </w:t>
        <w:br/>
        <w:t xml:space="preserve">belonging to the HLD group, of the company Financière ba&amp;sh SAS, the parent holding of the ba&amp;sh group,  </w:t>
        <w:br/>
        <w:t xml:space="preserve">which is active in the sector of the creation and marketing of women's ready-to-wear clothing and fashion accessories (leather goods, jewelry, glasses).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22-067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