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https://www.autoritedelaconcurrence.fr/fr/decision-de-controle-des-concentrations/relative-la-prise-de-controle-exclusif-du-groupe-bb-hotels</w:t>
      </w:r>
    </w:p>
    <w:p>
      <w:r>
        <w:t>Pages translated : 2</w:t>
      </w:r>
    </w:p>
    <w:p/>
    <w:p>
      <w:r>
        <w:rPr>
          <w:b/>
        </w:rPr>
        <w:t>[Pages 1–2]</w:t>
      </w:r>
    </w:p>
    <w:p>
      <w:r>
        <w:t xml:space="preserve">FRENCH REPUBLIC  </w:t>
        <w:br/>
        <w:t xml:space="preserve">Decision No. 10-DCC-126 of September 23, 2010  </w:t>
        <w:br/>
        <w:t xml:space="preserve">regarding the acquisition of exclusive control of Groupe B&amp;B Hôtels SAS by  </w:t>
        <w:br/>
        <w:t xml:space="preserve">The Carlyle Group via the investment funds CEREP III and CEP III  </w:t>
        <w:br/>
        <w:t>The Competition Authority,</w:t>
      </w:r>
    </w:p>
    <w:p>
      <w:r>
        <w:t>Having regard to the notification file submitted to the mergers department on August 24, 2010, and declared complete on September 14, 2010, concerning the acquisition of exclusive control of B&amp;B by The Carlyle Group ("hereinafter Carlyle") via the investment funds CEREP III and CEP III;</w:t>
      </w:r>
    </w:p>
    <w:p>
      <w:r>
        <w:t>Having regard to Book IV of the Commercial Code relating to the freedom of prices and competition, and in particular its Articles L. 430-1 to L. 430-7;</w:t>
      </w:r>
    </w:p>
    <w:p>
      <w:r>
        <w:t>Having regard to the additional elements provided by the parties during the investigation;</w:t>
      </w:r>
    </w:p>
    <w:p>
      <w:r>
        <w:t xml:space="preserve">Adopts the following decision:  </w:t>
        <w:br/>
        <w:t xml:space="preserve">I. The companies involved and the operation  </w:t>
        <w:br/>
        <w:t xml:space="preserve">1. Carlyle is a management company of American investment funds. It operates in the French market through the Carlyle Europe Partners III ("CEP III") fund, which is a LBO fund, as well as Carlyle Europe Real Estate Partners III and Carlyle Europe Real Estate Partners III-A (together "CEREP III") which are real estate funds. CEP III and CEREP III are managed and controlled by Carlyle. Furthermore, CEP III and CEREP III each hold a management company, respectively CEP III Participations Sarl Sicar and CEREP III France Sarl, limited liability companies under Luxembourg law. CEP III Participations Sarl Sicar holds stakes in 6 companies in the sectors of marine and pool equipment, product certification, cable supply, sportswear, cash management, and the manufacturing of gas exchangers for boilers. CEREP III France Sarl wholly owns 6 companies that own office or residential properties in France. Carlyle achieved a net revenue of [&gt;150] million euros in 2009, of which [&gt;50] million was generated in France.  </w:t>
        <w:br/>
        <w:t xml:space="preserve">2. B&amp;B Hôtels ("B&amp;B") is a simplified joint-stock company under French law active in the hotel sector, particularly in the budget hotel segment. It is 73.29% owned by Eurazeo, with the remainder of the capital distributed among minority shareholders, including the FCPRs managed by Montefiore (8.75%). B&amp;B is primarily present in France and Germany with 183 and 34 hotels respectively out of the 222 it operates. B&amp;B achieved a net revenue of 166.7 million euros in 2009, of which 147.7 million was in France.  </w:t>
        <w:br/>
        <w:t xml:space="preserve">3. Under the proposed shareholders' agreement and the proposed share purchase agreement, B&amp;B will be 100% owned by Build SAS, which is itself 95.6% owned by a first acquisition vehicle (hereinafter "Vehicle 1"), with the remaining 4.4% held by B&amp;B's executives. Vehicle 1 will be 15.7% owned by Montefiore FCPR and 84.3% owned by a second acquisition vehicle ("Vehicle 2"), which is wholly owned by the funds managed by Carlyle (80% by CEP III France Sarl and 20% by CEREP III Participations Sarl). It appears from the proposed shareholders' agreement and share purchase agreement submitted to the Authority that Carlyle will exercise exclusive control over Vehicle 1 as well as over Build SAS and consequently over B&amp;B.  </w:t>
        <w:br/>
        <w:t xml:space="preserve">4. As it results in the exclusive control of B&amp;B by Carlyle, the notified operation constitutes a concentration within the meaning of Article L. 430-1 of the Commercial Code. Given the revenues of the companies involved, it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  </w:t>
        <w:br/>
        <w:t xml:space="preserve">II. Competitive analysis  </w:t>
        <w:br/>
        <w:t xml:space="preserve">5. The B&amp;B Group is active in the hotel market. None of the companies currently held by Carlyle and the funds it manages are active in the hotel market or in markets that have vertical or related links with it. Consequently, the operation is not likely to harm competition.  </w:t>
        <w:br/>
        <w:t xml:space="preserve">DECIDES  </w:t>
        <w:br/>
        <w:t xml:space="preserve">Sole Article: The operation notified under number 10-0132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