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https://www.autoritedelaconcurrence.fr/fr/decision-de-controle-des-concentrations/relative-la-prise-de-controle-exclusif-du-groupe-bcs-par-le</w:t>
      </w:r>
    </w:p>
    <w:p>
      <w:r>
        <w:t>Pages translated : 6</w:t>
      </w:r>
    </w:p>
    <w:p/>
    <w:p>
      <w:r>
        <w:rPr>
          <w:b/>
        </w:rPr>
        <w:t>[Pages 1–3]</w:t>
      </w:r>
    </w:p>
    <w:p>
      <w:r>
        <w:t xml:space="preserve">FRENCH REPUBLIC  </w:t>
        <w:br/>
        <w:t xml:space="preserve">Decision No. 11-DCC-56 of April 4, 2011  </w:t>
        <w:br/>
        <w:t>regarding the exclusive control of the BCS group by the Neuhauser group</w:t>
      </w:r>
    </w:p>
    <w:p>
      <w:r>
        <w:t xml:space="preserve">The Competition Authority,  </w:t>
        <w:br/>
        <w:t xml:space="preserve">Having regard to the notification file submitted in full to the merger service on March 15, 2011, regarding the exclusive control of the BCS group by the Neuhauser group, formalized by a memorandum of understanding dated January 31, 2011, and a share purchase agreement dated February 11,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Neuhauser Financière is a holding company controlled by Mr. Alfred Neuhauser, holder of […] % of the capital and voting rights. The remainder of the capital of Neuhauser Financière is distributed among the companies Grands Moulins de Strasbourg ([…] %), Unigrains ([…] %), and several institutional investors totaling 8% of the capital. Neuhauser Financière holds stakes in several companies forming the Neuhauser group (hereinafter "Neuhauser group"). The Neuhauser group is active in the manufacturing and marketing of all bakery products, pastries, and confectioneries, as well as in research, purchasing, and processing of all products used in the bakery industry.  </w:t>
        <w:br/>
        <w:t>2. The company Financière BCS, head of the BCS group (hereinafter "BCS group"), is jointly controlled prior to the operation by the company Ardem on the one hand, and the company Moulins Soufflet on the other hand, holding respectively 66% and 34% of the voting rights of Financière BCS. The BCS group is active in the manufacturing and marketing of bakery products, pastries, and industrial confectioneries and develops an activity of operating automated cooking terminals.</w:t>
      </w:r>
    </w:p>
    <w:p>
      <w:r>
        <w:t xml:space="preserve">3. The notified operation aims at the acquisition by the Neuhauser group of the entire capital and voting rights of the BCS group. The operation will be carried out in two stages: on the one hand, under the terms of a share purchase and asset and liability guarantee agreement dated February 11, 2011, Neuhauser Financière plans to acquire all the shares of the company Ardem from the Couturier family and consequently the 66% stake of Ardem in the capital of the BCS group; on the other hand, under the terms of a memorandum of understanding between the companies Financière Neuhauser and Moulins Soufflet dated January 31, 2011, the Neuhauser group will acquire the remaining 34% of the capital of the BCS group from the company Moulins Soufflet in exchange for its entry into the capital of companies in the Neuhauser group.  </w:t>
        <w:br/>
        <w:t xml:space="preserve">4. The European Commission indicates in point 45 of its consolidated communication that there may be a single concentration when the same buyer or buyers take control of a single enterprise, that is to say, a single economic entity, through several legal operations, provided that these are subject to a conditional link, and adds in point 43 that "the required conditionality implies that none of the operations could take place without the others and that all these operations therefore constitute a single operation. This conditionality is normally demonstrated when the operations are legally linked, that is to say, when the agreements themselves are linked by mutual conditionality." Furthermore, the European Commission considers that "if a factual conditionality can be satisfactorily established, it may also be sufficient to consider the operations as a single concentration operation." It emphasizes in this regard that "the interdependence of multiple operations may appear in light of the statements made by the parties themselves or the simultaneous conclusion of the agreements in question" and that "operations that constitute a whole based on the economic objectives pursued by the parties must also be assessed within the framework of a single procedure. In such cases, the modification of the market structure is induced by all these operations taken together."  </w:t>
        <w:br/>
        <w:t xml:space="preserve">5. In the present case, a non-reciprocal legal link exists between the two operations since, if the company Moulins Soufflet will only be obliged to sell its stake in the capital of the BCS group if the acquisition of Ardem by the Neuhauser group is completed, the acquisition of Ardem by the Neuhauser group is not subject to a reciprocal condition. However, it follows from the statements of the parties, in particular those appearing in the preamble of the memorandum of understanding of January 31, 2011, that "the signing of the memorandum and the first step of the entry [of Moulins Soufflet] into the capital [of Neuhauser Financière] are indeed events allowing the signing by the company [Neuhauser Financière] of the contract relating to the acquisition of Ardem." Moreover, the agreements formalizing the two operations are concurrent, intended, and organized as such by the parties to these agreements. These two operations contribute to achieving the same economic objective pursued by the acquirer, which is to strengthen its presence in the industrial bakery sector, as evidenced by elements of the notification file. In light of the above, it can therefore be considered that these two acquisitions constitute a single operation.  </w:t>
        <w:br/>
        <w:t>6. Furthermore, regarding the entry of Moulins Soufflet into the capital of the Neuhauser group, it follows from the statutes and shareholder agreements relating to these two companies that the participation of Moulins Soufflet will not be of a nature to confer it decisive influence within the Neuhauser group.</w:t>
      </w:r>
    </w:p>
    <w:p>
      <w:r>
        <w:t xml:space="preserve">7. In that it results in the exclusive control of the BCS group by the Neuhauser group, the present operation constitutes a concentration within the meaning of Article L. 430-1 of the Commercial Code.  </w:t>
        <w:br/>
        <w:t>8. The companies concerned together achieve a total worldwide turnover excluding taxes of more than 150 million euros (Neuhauser group: [...] million euros for the fiscal year ending December 31, 2009; BCS group: [...] million euros for the same fiscal year). Each achieves, in France, a turnover exceeding 50 million euros (Neuhauser group: [...] million euros; BCS group: [...] million euros). Given these turnovers,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9. The present operation leads to overlaps in activities in the markets for industrial bakery-pastry-confectionery products (hereinafter "BVP"). The decision-making practice of the Minister of Economy has segmented the industrial BVP sector into bakery products, pastry products, and confectionery products, and has also distinguished between frozen products and fresh products. In this case, only frozen products are involved.  </w:t>
        <w:br/>
        <w:t>10. Bakery and pastry products, both fresh and frozen, are marketed in different forms ("ready to push," "ready to bake," or "cooked") for which the decision-making practice has considered distinct markets. In this case, the question of the delimitation of these markets can be left open, as the competitive analysis remains unchanged regardless of the hypothesis retained.</w:t>
      </w:r>
    </w:p>
    <w:p>
      <w:r>
        <w:t xml:space="preserve">A. THE PRODUCT MARKETS  </w:t>
        <w:br/>
        <w:t xml:space="preserve">1. FROZEN BAKERY  </w:t>
        <w:br/>
        <w:t xml:space="preserve">11. The parties manufacture and market a complete range of frozen bakery products including baguettes, specialty breads, and country breads. The decision-making practice has considered that there is no need to distinguish between each of the families or specialties of bakery, as these products all satisfy the same need and do not require specific manufacturing techniques.  </w:t>
        <w:br/>
        <w:t>12. In contrast, the practice has segmented the market for frozen industrial bakery between raw products or "ready to push" (hereinafter "PAP"), "ready to bake" products (hereinafter "PAC"), and cooked products, these different products being marketed at a stage of</w:t>
      </w:r>
    </w:p>
    <w:p>
      <w:r>
        <w:rPr>
          <w:b/>
        </w:rPr>
        <w:t>[Pages 4–6]</w:t>
      </w:r>
    </w:p>
    <w:p>
      <w:r>
        <w:t>different definition and requiring the implementation of different equipment and processing techniques prior to the sale/consumption of the products. Frozen PAP (or raw) products are neither cooked nor fermented, requiring these two operations to be performed by the point of sale. PAC products are fermented and therefore only require cooking by the point of sale. Finally, so-called "cooked" frozen products only require defrosting. As a result, their average selling prices and clientele are different: frozen PAP bakery products are mainly marketed to large and medium-sized retailers, while PAC products are also purchased by the out-of-home catering sector.</w:t>
      </w:r>
    </w:p>
    <w:p>
      <w:r>
        <w:t>13. In the present case, the parties are simultaneously active in the only markets for frozen PAP and PAC bakery products.</w:t>
      </w:r>
    </w:p>
    <w:p>
      <w:r>
        <w:t>2. FROZEN PASTRIES</w:t>
      </w:r>
    </w:p>
    <w:p>
      <w:r>
        <w:t>14. The parties manufacture and market a complete range of frozen pastries consisting of croissants, pain au chocolat, raisin breads, and other specialties, in various formats.</w:t>
      </w:r>
    </w:p>
    <w:p>
      <w:r>
        <w:t>15. In the same way as for bakery products, the decision-making practice has considered a segmentation between PAP, PAC, and cooked products but has not deemed it relevant to distinguish each recipe or specialty of pastry as these products all satisfy the same need and do not require specific manufacturing techniques.</w:t>
      </w:r>
    </w:p>
    <w:p>
      <w:r>
        <w:t>16. In this case, the parties are simultaneously active in the only market for frozen PAP pastries.</w:t>
      </w:r>
    </w:p>
    <w:p>
      <w:r>
        <w:t>3. FROZEN PASTRY PRODUCTS</w:t>
      </w:r>
    </w:p>
    <w:p>
      <w:r>
        <w:t>17. The parties manufacture and market pastries (tarts, tartlets, flans, etc.) and frozen industrial pastry bases.</w:t>
      </w:r>
    </w:p>
    <w:p>
      <w:r>
        <w:t>18. In its previous decisions, the Minister of Economy did not segment the frozen industrial pastry market according to the stage of product finishing or the recipe used. While there are indications of substitutability on the supply side due to the easy adaptation of production tools, substitutability between different pastry recipes from the demand perspective is more uncertain. In any case, given the parties' very marginal position in these various markets, there is no need to delineate them more specifically.</w:t>
      </w:r>
    </w:p>
    <w:p>
      <w:r>
        <w:t>B. GEOGRAPHICAL MARKET DELIMITATION</w:t>
      </w:r>
    </w:p>
    <w:p>
      <w:r>
        <w:t>19. The decision-making practice has considered, while leaving the question open, that the markets for bakery, pastry, and frozen industrial pastries are of national dimension given the consumption habits specific to each country.</w:t>
      </w:r>
    </w:p>
    <w:p>
      <w:r>
        <w:t>20. In this case, the question of the geographical delimitation of these markets can be left open, as the conclusions of the competitive analysis remain unchanged.</w:t>
      </w:r>
    </w:p>
    <w:p>
      <w:r>
        <w:t>III. Competitive Analysis</w:t>
      </w:r>
    </w:p>
    <w:p>
      <w:r>
        <w:t>21. The size of the markets, particularly by PAP and PAC segments, has been assessed based on a GIRA Food study, both in value and volume.</w:t>
      </w:r>
    </w:p>
    <w:p>
      <w:r>
        <w:t>22. In the overall market for frozen industrial bakery products, the Neuhauser group will hold, following the operation, a market share of [10-20]% in volume (i.e., [10-20]% in value), representing an increment of [5-10]%. The Neuhauser group will continue to face the market leader, Panavi/Vandemoortele, whose market share is estimated at 25% by the parties.</w:t>
      </w:r>
    </w:p>
    <w:p>
      <w:r>
        <w:t>23. If we consider a finer delimitation of the frozen bakery markets, the Neuhauser group's volume share in the PAC products market increases from [0-5]% to [10-20]%. In this segment, the new entity will remain subject to competitive pressure from players such as Panavi/Vandemoortele or Nutrixo, each holding between 15% and 25% of the market, as well as competitors like Menissez or Intermarché, each holding between 5% and 10% of the market. The competition is also driven by smaller players such as Touflet, La Gerbe Savoyarde, Lubrano, Planète Grains, or Les Fromentiers de France.</w:t>
      </w:r>
    </w:p>
    <w:p>
      <w:r>
        <w:t>24. In the PAP bakery products market, Neuhauser will hold a market share of [10-20]% in volume following the operation, which will result in an increment of [0-5]%. Neuhauser will continue to face competitive pressure from the main market players mentioned above, such as Panavi/Vandemoortele, Nutrixo, or Intermarché, each holding between 5% and 20% of the market, as well as from smaller competitors such as La Gerbe Savoyarde, Grain d’Or Gel, La Mie Câline, or Les Fromentiers de France.</w:t>
      </w:r>
    </w:p>
    <w:p>
      <w:r>
        <w:t>25. In the French frozen pastry market, the market share of the new entity will rise to [5-10]% of the market in volume and [5-10]% in value. The Neuhauser group is not present in France in the PAC products market, and BCS's market share in PAP products is low ([0-5]%), with its addition bringing the Neuhauser group's market share after the operation to [5-10]% in volume and [5-10]% in value. It will face competition from operators such as Panavi/Vandemoortele, Nutrixo, Bridor, or Le Duff (each holding between 15% and 25% of the market), as well as Holder and Sobagel.</w:t>
      </w:r>
    </w:p>
    <w:p>
      <w:r>
        <w:t>26. Finally, in the overall market for frozen industrial pastries, the volumes produced by the parties are marginal, and their combined market share is below [0-5]%.</w:t>
      </w:r>
    </w:p>
    <w:p>
      <w:r>
        <w:t>27. The acquisition of the target does not allow the Neuhauser group to expand its product range, and its position in the relevant markets does not exceed [10-20]%. The operation is therefore not likely to significantly strengthen the negotiating power of the Neuhauser group both upstream, with respect to its suppliers, and downstream, with respect to its main customers.</w:t>
      </w:r>
    </w:p>
    <w:p>
      <w:r>
        <w:t>28. Regarding suppliers, both the acquirer and the target source from different suppliers for both flour and butter prior to the operation, and their respective purchases do not exceed 5% of the turnover of these suppliers, most of whom are international operators. The operation is therefore not likely to strengthen the negotiating power of the Neuhauser group in terms of pooling its procurement with that of the target.</w:t>
      </w:r>
    </w:p>
    <w:p>
      <w:r>
        <w:t>29. In light of the above, the present operation is therefore not likely to harm competition.</w:t>
      </w:r>
    </w:p>
    <w:p>
      <w:r>
        <w:t>DECIDES</w:t>
      </w:r>
    </w:p>
    <w:p>
      <w:r>
        <w:t>Sole Article: The notified operation under number 11-0024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