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https://www.autoritedelaconcurrence.fr/fr/decision-de-controle-des-concentrations/relative-la-prise-de-controle-exclusif-du-groupe-bihr-par</w:t>
      </w:r>
    </w:p>
    <w:p>
      <w:r>
        <w:t>Pages translated : 2</w:t>
      </w:r>
    </w:p>
    <w:p/>
    <w:p>
      <w:r>
        <w:rPr>
          <w:b/>
        </w:rPr>
        <w:t>[Pages 1–2]</w:t>
      </w:r>
    </w:p>
    <w:p>
      <w:r>
        <w:t xml:space="preserve">FRENCH REPUBLIC  </w:t>
        <w:br/>
        <w:t xml:space="preserve">Decision No. 22-DCC-193 of October 6, 2022  </w:t>
        <w:br/>
        <w:t xml:space="preserve">regarding the exclusive control acquisition of the Bihr group by the Arrowhead Engineered Products group  </w:t>
        <w:br/>
        <w:t>The Competition Authority,</w:t>
      </w:r>
    </w:p>
    <w:p>
      <w:r>
        <w:t>Having regard to the complete notification file sent to the mergers department on September 19, 2022, concerning the exclusive control acquisition by Arrowhead Electrical Products (UK) Limited, a subsidiary of the Arrowhead Engineered Products group, of Bihr NV, the parent company of the Bihr group, formalized by a transfer agreement dated July 20, 2022;</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of the Bihr group, active in the manufacturing and distribution of spare parts for motorcycles and quads, by the Arrowhead Engineered Products group, which is also active in the manufacturing and distribution of spare parts.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22-186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