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https://www.autoritedelaconcurrence.fr/fr/decision-de-controle-des-concentrations/relative-la-prise-de-controle-exclusif-du-groupe-bimedia</w:t>
      </w:r>
    </w:p>
    <w:p>
      <w:r>
        <w:t>Pages translated : 2</w:t>
      </w:r>
    </w:p>
    <w:p/>
    <w:p>
      <w:r>
        <w:rPr>
          <w:b/>
        </w:rPr>
        <w:t>[Pages 1–2]</w:t>
      </w:r>
    </w:p>
    <w:p>
      <w:r>
        <w:t xml:space="preserve">FRENCH REPUBLIC  </w:t>
        <w:br/>
        <w:t xml:space="preserve">Decision No. 18-DCC-35 of March 16, 2018  </w:t>
        <w:br/>
        <w:t xml:space="preserve">regarding the exclusive control acquisition of the Bimédia group by the company  </w:t>
        <w:br/>
        <w:t xml:space="preserve">Idinvest Partners  </w:t>
        <w:br/>
        <w:t xml:space="preserve">The Competition Authority,  </w:t>
        <w:br/>
        <w:t xml:space="preserve">Having regard to the notification file sent to the mergers department on January 26, 2018, and declared complete on February 12, 2018, concerning the exclusive control acquisition of the Bimédia group by the company Idinvest Partners and formalized by a conciliation protocol dated January 22, 2018;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Idinvest Partners of the Bimédia group, which is active in the sale of comprehensive solutions for retail points of sale in local commerce.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18-014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