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https://www.autoritedelaconcurrence.fr/fr/decision-de-controle-des-concentrations/relative-la-prise-de-controle-exclusif-du-groupe-bio-7-par</w:t>
      </w:r>
    </w:p>
    <w:p>
      <w:r>
        <w:t>Pages translated : 8</w:t>
      </w:r>
    </w:p>
    <w:p/>
    <w:p>
      <w:r>
        <w:rPr>
          <w:b/>
        </w:rPr>
        <w:t>[Pages 1–3]</w:t>
      </w:r>
    </w:p>
    <w:p>
      <w:r>
        <w:t xml:space="preserve">FRENCH REPUBLIC  </w:t>
        <w:br/>
        <w:t xml:space="preserve">Decision No. 18-DCC-70 of May 2, 2018  </w:t>
        <w:br/>
        <w:t xml:space="preserve">regarding the exclusive control of the Bio 7 group  </w:t>
        <w:br/>
        <w:t>by the Cerba group</w:t>
      </w:r>
    </w:p>
    <w:p>
      <w:r>
        <w:t xml:space="preserve">The Competition Authority,  </w:t>
        <w:br/>
        <w:t xml:space="preserve">Having regard to the notification file submitted in full to the merger service on March 26, 2018,  </w:t>
        <w:br/>
        <w:t xml:space="preserve">regarding the acquisition of the Bio7 group by the Cerba group, formalized by a sale option contract dated February 25, 2018;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Cerba Healthcare SAS is the parent company of the Cerba group, which is primarily active in the medical biology sector through an international network of medical biology laboratories, including 289 located in France. The Cerba group is also active in the fields of specialized medical biology analysis, veterinary analysis, the provision of biological samples, clinical trial biology, and medical assessments related to insurance subscriptions. Cerba Healthcare SAS is owned and under the exclusive control of the investment fund Partners Group AG.  </w:t>
        <w:br/>
        <w:t xml:space="preserve">2. The Bio7 group is a group consisting of four operational companies, active in the medical biology sector through a network of 94 medical biology laboratories in France. The Bio7 group also owns a company operating medical biology laboratories in Belgium.  </w:t>
        <w:br/>
        <w:t>3. The companies concerned together achieve a total worldwide turnover excluding tax of more than 150 million euros (Partners Group: [&gt;150 million] euros for the financial year ended December 31, 2016; Bio7 group: [&gt;50 million] euros for the financial year ended September 30, 2017). Each of these companies has achieved a turnover in France exceeding 50 million euros (Partners Group: [&gt;50 million] euros for the financial year ended December 31, 2016; Bio7 group: [&gt;50 million] euros for the financial year ended September 30, 2017).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4. The parties to the operation are simultaneously present in the medical biology sector. Indeed, both the Cerba and Bio7 groups own medical analysis laboratories whose activity consists of providing medical biology examination services.  </w:t>
        <w:br/>
        <w:t>5. The parties to the operation are also present, as buyers, in the market for the supply of equipment, reagents, and biology consumables.</w:t>
      </w:r>
    </w:p>
    <w:p>
      <w:r>
        <w:t xml:space="preserve">A. THE MARKET FOR MEDICAL BIOLOGY ANALYSIS SERVICES  </w:t>
        <w:br/>
        <w:t xml:space="preserve">1. SERVICE MARKET  </w:t>
        <w:br/>
        <w:t xml:space="preserve">6. In accordance with Article L. 6211-1 of the Public Health Code, a medical biology examination is "a medical act that contributes to the prevention, screening, diagnosis, or assessment of the risk of occurrence of pathological states, to the decision and therapeutic management, to the determination or monitoring of the physiological or pathophysiological state of the human being [...]".  </w:t>
        <w:br/>
        <w:t xml:space="preserve">7. Medical biology examinations consist of three phases: a pre-analytical phase, including the collection of a biological sample and its transport to the location where it is analyzed, an analytical phase, and a post-analytical phase of interpretation and communication of the result to the prescriber. They are performed by a medical biologist or, for certain phases, under their responsibility, within a medical biology laboratory, such as those owned by the parties.  </w:t>
        <w:br/>
        <w:t>8. In their previous decision-making practice, national and European competition authorities have identified a market for the provision of medical biology analyses. They have also considered, while leaving the question open, a segmentation between "routine" examinations and specialized examinations, the latter concerning rare biology acts subject to specific ministerial approval.</w:t>
      </w:r>
    </w:p>
    <w:p>
      <w:r>
        <w:t xml:space="preserve">9. Furthermore, the decision-making practice of national and European authorities has considered that in the matter of the provision of diagnostics and care, it is not relevant to distinguish the offer based on whether it comes from private or public establishments.  </w:t>
        <w:br/>
        <w:t xml:space="preserve">10. The investigation reveals that all the findings made by the decision-making practice in the matter of the provision of diagnostics and care also apply to medical biology, which is subject to a comparable legal regime. Thus, patients are free to have their tests conducted in a private medical biology laboratory or a public hospital. Furthermore, in France, the pricing of medical biology examinations is subject to a nomenclature that is binding on the various operators. Moreover, the information provided by the notifying party shows that medical analysis expenses in France are almost entirely covered by public funding sources (mainly Social Security) or private (mutuals and insurances in particular). Finally, medical analysis laboratories, whether private or public, are subject to a common legal framework and must notably be accredited. In light of the above, it does not appear relevant to segment the offer of medical biology analysis services based on whether it comes from public hospitals or private laboratories.  </w:t>
        <w:br/>
        <w:t>11. The question of segmentation between "routine" examinations and specialized examinations can remain open, as long as the conclusions of the analysis remain unchanged regardless of the segmentation chosen.</w:t>
      </w:r>
    </w:p>
    <w:p>
      <w:r>
        <w:t xml:space="preserve">2. GEOGRAPHICAL MARKETS  </w:t>
        <w:br/>
        <w:t>12. The decision-making practice has considered, while leaving the question open, to retain a national dimension for the market for specialized medical biology analyses and a</w:t>
      </w:r>
    </w:p>
    <w:p>
      <w:r>
        <w:t xml:space="preserve">3 This is not the case in all Member States. Thus, the European Commission has identified a market for private hospital care in the United Kingdom (decisions COMP/M.4367 – APW/APSA/Nordic Capital/Capio of March 16, 2007 and COMP/M.4788 – Rozier/BHS of August 21, 2007).  </w:t>
        <w:br/>
        <w:t xml:space="preserve">4 Decisions of the Competition Authority No. 17-DCC-95 of June 23, 2017, regarding the exclusive control of the Médipôle Partenaires group by the Elsan group, No. 16-DCC-164 of November 4, 2016, regarding the joint control by the companies Holding Saint Gatien and Ovalie of the Holding Hospitalière et Hôtelière group, No. 16-DCC-125 of August 24, 2016, regarding the exclusive control of the Clinique Esquirol Saint Hilaire and Ware Système companies by Médipôle Partenaires, No. 16-DCC-103 of July 21, 2016, regarding the exclusive control of the Groupe Avenir Santé by the Bridgepoint group, No. 15-DCC-155 of November 30, 2015, regarding the exclusive control of Hôpital Privé Métropole by Compagnie Générale de Santé, No. 15-DCC-146 of October 26, 2015, regarding the exclusive control of Vitalia by Vedici Holding (CVC Capital Partners), No. 14-DCC-141 of September 24, 2014, regarding the joint control of Générale de Santé by Ramsay Health Care and Predica (Crédit Agricole Group), No. 13-DCC-164 of November 21, 2013, regarding the joint control of Almaviva Santé by UI Gestion and Gimv, No. 11-DCC-37 of March 7, 2011, regarding the control of the C2S group and SAS Holding du Parc by Bridgepoint SAS, and the letters from the Minister responsible for the economy C2008-115 of December 5, 2008, to the board of Santé Partenaires, regarding a concentration in the clinic management sector, C2007-91 to the board of Vitalia Développement 2, regarding a concentration in the diagnostics and care provision sector in health establishments, C2007-80 of July 24, 2007, to the board of Vitalia Développement 1, regarding a concentration in the health establishment sector in France; C2006-105 to the board of Capio santé SA, regarding a concentration in the diagnostics and care production sector in health establishments of October 26, 2006, C2005-125 to the board of Générale de Santé regarding a concentration in the health establishment sector of January 6, 2006, C2005-14 to the board of Générale de santé regarding a concentration in the care establishment sector of March 31, 2005, the letter of December 4, 2003, to the board of Capio Santé, regarding a concentration in the care establishment sector, the letter of November 14, 2002, to the board of Médi-Partenaires, regarding a concentration in the care establishment sector in France, and the decisions of the European Commission COMP/M.7833 - CDC international capital/ Mubadala Development company/ Vivalto Bel / Groupe Vivalto Santé of December 14, 2015; COMP/M.7725 – Vedici/Vitalia of August 28, 2015, COMP/M.7221 – Bridgepoint Capital/Medipartenaires of April 24, 2014, COMP/M.7322 – Ramsay health care/Crédit agricole/Générale de santé of August 4, 2014 and COMP/M.5805 – 3i/Védici Groupe of May 21, 2010.  </w:t>
        <w:br/>
        <w:t xml:space="preserve">5 This does, however, require that public hospital laboratories are equipped to receive external public, a condition that is most often met but not systematically.  </w:t>
        <w:br/>
        <w:t>6 Article L6211-21 of the Public Health Code: "Subject to cooperations in the field of medical biology conducted between health establishments within the framework of agreements, health cooperation groups, or territorial hospital groups and subject to the cooperation contracts mentioned in Article L. 6212-6, medical biology examinations are billed at the rate of medical biology acts set in accordance with Articles L. 162-1-7 and L. 162-1-7-1 of the Social Security Code."</w:t>
      </w:r>
    </w:p>
    <w:p>
      <w:r>
        <w:rPr>
          <w:b/>
        </w:rPr>
        <w:t>[Pages 4–6]</w:t>
      </w:r>
    </w:p>
    <w:p>
      <w:r>
        <w:t>local dimension for the routine medical biology analysis market. Thus, competition authorities have examined the effects of operations in this sector at the regional or sub-regional, or even departmental level.</w:t>
      </w:r>
    </w:p>
    <w:p>
      <w:r>
        <w:t>13. In this case, the question of the geographical delimitation of the medical biology analysis markets can be left open insofar as the conclusions of the analysis will remain unchanged regardless of the delimitation chosen.</w:t>
      </w:r>
    </w:p>
    <w:p>
      <w:r>
        <w:t>B. THE MARKET FOR THE SUPPLY OF EQUIPMENT, REAGENTS, AND BIOLOGY CONSUMABLES</w:t>
      </w:r>
    </w:p>
    <w:p>
      <w:r>
        <w:t>1. PRODUCT MARKETS</w:t>
      </w:r>
    </w:p>
    <w:p>
      <w:r>
        <w:t>14. Decision-making practice has considered segmenting the market for the supply of biology equipment, reagents, and consumables into almost as many sectors of activity as there are products or consumables concerned by the analyses (culture media and sera, products for gene activation,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w:t>
      </w:r>
    </w:p>
    <w:p>
      <w:r>
        <w:t>15. In any case, the question of the exact definition of the markets for the supply of biology equipment, reagents, and consumables can be left open insofar as, regardless of the delimitation chosen, the conclusions of the competitive analysis will remain unchanged.</w:t>
      </w:r>
    </w:p>
    <w:p>
      <w:r>
        <w:t>2. GEOGRAPHICAL MARKETS</w:t>
      </w:r>
    </w:p>
    <w:p>
      <w:r>
        <w:t>16. Decision-making practice considers that the geographical dimension of the markets for the supply of biology equipment, reagents, and consumables could be of European, or even global, dimension. While leaving the question open, it has also examined, in previous operations, the effects on the network of suppliers and wholesalers at the national level only.</w:t>
      </w:r>
    </w:p>
    <w:p>
      <w:r>
        <w:t>17. In any case, the question of the exact delimitation of these markets can be left open insofar as, regardless of the delimitation chosen, the conclusions of the competitive analysis will remain unchanged.</w:t>
      </w:r>
    </w:p>
    <w:p>
      <w:r>
        <w:t>III. Competitive Analysis</w:t>
      </w:r>
    </w:p>
    <w:p>
      <w:r>
        <w:t>18. The horizontal effects of the operation will be examined in the market for medical biology and its various segments as well as in the markets for the supply of biology equipment, reagents, and consumables.</w:t>
      </w:r>
    </w:p>
    <w:p>
      <w:r>
        <w:t>19. The vertical effects of the operation between the markets for routine and specialized medical biology will also be examined.</w:t>
      </w:r>
    </w:p>
    <w:p>
      <w:r>
        <w:t>A. HORIZONTAL EFFECTS</w:t>
      </w:r>
    </w:p>
    <w:p>
      <w:r>
        <w:t>1. MARKET FOR THE SUPPLY OF EQUIPMENT, REAGENTS, AND BIOLOGY CONSUMABLES</w:t>
      </w:r>
    </w:p>
    <w:p>
      <w:r>
        <w:t>20. The notifying party indicates that the combined amount of purchases by the Cerba group and the Bio7 group in biology equipment, reagents, and consumables amounts to […] euros in 2017. It also indicates that it primarily sources from the divisions specialized in in vitro diagnostics of international pharmaceutical groups such as Siemens, Roche, or Abbott.</w:t>
      </w:r>
    </w:p>
    <w:p>
      <w:r>
        <w:t>21. The most recent public data establishes that the turnover of the in vitro diagnostic industry represented a total of 10.5 billion euros at the European level in 2015. Based on this, the notifying party estimates that the share of the new entity in this market would not exceed [0-5]% at the European level, regardless of the category of products considered by the decision-making practice.</w:t>
      </w:r>
    </w:p>
    <w:p>
      <w:r>
        <w:t>22. At the French level, the turnover of the in vitro diagnostic industry would be approximately 1.5 billion euros according to the same sources. Based on this, the notifying party estimates that the share of the new entity in this market would be around [5-10]%, for each of the product categories considered by the decision-making practice, with the exception of the category of genetic tests, for which the market share would remain limited, around [10-20]%.</w:t>
      </w:r>
    </w:p>
    <w:p>
      <w:r>
        <w:t>23. Therefore, the operation is not likely to harm competition in the market for the supply of biology equipment, reagents, and consumables.</w:t>
      </w:r>
    </w:p>
    <w:p>
      <w:r>
        <w:t>2. MARKET FOR ROUTINE MEDICAL BIOLOGY EXAMINATIONS</w:t>
      </w:r>
    </w:p>
    <w:p>
      <w:r>
        <w:t>24. As indicated above, the Cerba group owns 289 medical analysis laboratories distributed throughout France. The laboratories of the Bio7 group, for their part, are all located in Île-de-France, with the exception of twelve laboratories in Oise (60), eleven laboratories in Indre-et-Loire (11), and one laboratory in Vienne (86). The activities of the parties overlap only in Île-de-France and more specifically in Yvelines (78), Essonne (91), Hauts-de-Seine (92), Seine-Saint-Denis (93), and Val d'Oise (95).</w:t>
      </w:r>
    </w:p>
    <w:p>
      <w:r>
        <w:t>25. Taking into account the activity of hospitals in routine medical biology raises certain methodological difficulties, given the lack of sufficiently detailed data. Although they are part of the relevant market, for the reasons previously stated, provided that their laboratories are equipped to receive the public, it is indeed appropriate to exclude from their activity examinations related to hospitalization, which must be considered as an "in-house" activity. In the absence of precise data allowing for the evaluation of the activity of hospitals concerning examinations not involving hospitalized patients, the market shares retained below are based on a particularly conservative hypothesis, consisting of only considering the activity of private medical biology laboratories.</w:t>
      </w:r>
    </w:p>
    <w:p>
      <w:r>
        <w:t>26. In the market for medical biology analysis services, the market share of the new entity will be [10-20]% at the national level.</w:t>
      </w:r>
    </w:p>
    <w:p>
      <w:r>
        <w:t>27. If one were to consider a market for routine medical analyses at the national level, the market share of the new entity would be [10-20]%, and [10-20]% in Île-de-France. The new entity will face competition from private players such as Labco, Eurofins, or Biogroup, as well as from public hospitals.</w:t>
      </w:r>
    </w:p>
    <w:p>
      <w:r>
        <w:t>28. If one were to consider a market for routine medical analyses at the departmental level, the market share of the new entity would be estimated at [20-30]% in Yvelines (78), [10-20]% in Hauts-de-Seine (92), [10-20]% in Seine-Saint-Denis, and [10-20]% in Val d'Oise (95). In these departments, in addition to competition from public hospitals, the new entity will face competition from a large number of private laboratories.</w:t>
      </w:r>
    </w:p>
    <w:p>
      <w:r>
        <w:t>29. In Essonne (91), the operation is also not likely to harm competition. Indeed, firstly, the market share of the new entity in this department will in any case be less than 50% ([40-50]%).</w:t>
      </w:r>
    </w:p>
    <w:p>
      <w:r>
        <w:t>30. Secondly, Cerba's laboratories in Essonne are all located in the northern half of the department where the vast majority of competing laboratories are also located, notably those of the Biopath group ([5-10]%), Biolaboplus ([5-10]%), Eurofins ([5-10]%), Medibiolab ([5-10]%), and Biolab ([5-10]%).</w:t>
      </w:r>
    </w:p>
    <w:p>
      <w:r>
        <w:t>31. Thirdly, for each Cerba laboratory located in this department, there are at least two competing laboratories in immediate proximity, with the exception of the Bligny laboratory, which is the only laboratory in that municipality. Regarding this latter, the nearest laboratories are those in Arpajon, where there is a Biolaboplus laboratory, and in Orsay, where there is an Eurofins laboratory.</w:t>
      </w:r>
    </w:p>
    <w:p>
      <w:r>
        <w:rPr>
          <w:b/>
        </w:rPr>
        <w:t>[Pages 7–8]</w:t>
      </w:r>
    </w:p>
    <w:p>
      <w:r>
        <w:t>32. Finally, the aforementioned competing laboratories belong to groups that have a significant presence throughout the Île-de-France region (Biopath, Biolab, Medibiolab) as well as in France and worldwide (Eurofins).</w:t>
      </w:r>
    </w:p>
    <w:p>
      <w:r>
        <w:t>33. Consequently, the operation is not likely to harm competition through potential horizontal effects on the market for medical biology examinations, nor on the segments of routine medical biology examinations and specialized medical biology examinations.</w:t>
      </w:r>
    </w:p>
    <w:p>
      <w:r>
        <w:t>B. VERTICAL EFFECTS</w:t>
      </w:r>
    </w:p>
    <w:p>
      <w:r>
        <w:t>34. Only the Cerba group engages in specialized medical biology examinations, while the Bio7 group is active only in the segment of routine medical biology examination services. However, the operation leads to a vertical strengthening insofar as routine medical biology laboratories subcontract specialized medical biology examinations to laboratories operating this type of service.</w:t>
      </w:r>
    </w:p>
    <w:p>
      <w:r>
        <w:t>35. A vertical concentration can restrict competition by making access to the markets in which the new entity will be active more difficult, or even potentially eliminating competitors or penalizing them by increasing their costs. The Authority thus considers that it is unlikely that a company with a market share of less than 30% in a given market could lock in a downstream or upstream market.</w:t>
      </w:r>
    </w:p>
    <w:p>
      <w:r>
        <w:t>36. The notifying party estimates the market share of the Cerba group in the market for specialized medical biology examinations to be [20-30]% at the national level. In addition to the Cerba group, the main players in this market are public hospitals, whose market share is estimated at [30-40]%, and the Biomnis group, whose market share is estimated at [20-30]%.</w:t>
      </w:r>
    </w:p>
    <w:p>
      <w:r>
        <w:t>37. Furthermore, the annual subcontracting of the Bio7 group in specialized medical biology examinations amounted in 2017 to […] euros, representing less than 2% of the demand for specialized medical biology examinations at the national level.</w:t>
      </w:r>
    </w:p>
    <w:p>
      <w:r>
        <w:t>38. Consequently, the operation is not likely to harm competition through potential vertical effects.</w:t>
      </w:r>
    </w:p>
    <w:p>
      <w:r>
        <w:t>DECIDES</w:t>
      </w:r>
    </w:p>
    <w:p>
      <w:r>
        <w:t>Sole Article: The operation notified under number 18-060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