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https://www.autoritedelaconcurrence.fr/fr/decision-de-controle-des-concentrations/relative-la-prise-de-controle-exclusif-du-groupe-bio-sante</w:t>
      </w:r>
    </w:p>
    <w:p>
      <w:r>
        <w:t>Pages translated : 2</w:t>
      </w:r>
    </w:p>
    <w:p/>
    <w:p>
      <w:r>
        <w:rPr>
          <w:b/>
        </w:rPr>
        <w:t>[Pages 1–2]</w:t>
      </w:r>
    </w:p>
    <w:p>
      <w:r>
        <w:t xml:space="preserve">FRENCH REPUBLIC  </w:t>
        <w:br/>
        <w:t xml:space="preserve">Decision No. 22-DCC-142 of August 4, 2022  </w:t>
        <w:br/>
        <w:t xml:space="preserve">regarding the exclusive control acquisition of the Bio Santé group by the  </w:t>
        <w:br/>
        <w:t xml:space="preserve">Eurofins group  </w:t>
        <w:br/>
        <w:t xml:space="preserve">The Competition Authority,  </w:t>
        <w:br/>
        <w:t xml:space="preserve">Having regard to the complete notification file submitted to the mergers department on July 20, 2022,  </w:t>
        <w:br/>
        <w:t xml:space="preserve">concerning the exclusive control acquisition of the company Bio Santé by the companies Eurofins Biologie  </w:t>
        <w:br/>
        <w:t xml:space="preserve">Médicale Holding France and Eurofins Labazur Provence, companies belonging to the Eurofins group, formalized by a share transfer agreement signed on May 10,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Bio Santé group by the Eurofins group. These groups are active in the field of medical biology.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22-132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