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https://www.autoritedelaconcurrence.fr/fr/decision-de-controle-des-concentrations/relative-la-prise-de-controle-exclusif-du-groupe-bioclinic</w:t>
      </w:r>
    </w:p>
    <w:p>
      <w:r>
        <w:t>Pages translated : 11</w:t>
      </w:r>
    </w:p>
    <w:p/>
    <w:p>
      <w:r>
        <w:rPr>
          <w:b/>
        </w:rPr>
        <w:t>[Pages 1–3]</w:t>
      </w:r>
    </w:p>
    <w:p>
      <w:r>
        <w:t xml:space="preserve">FRENCH REPUBLIC  </w:t>
        <w:br/>
        <w:t xml:space="preserve">Decision No. 22-DCC-104 of June 24, 2022  </w:t>
        <w:br/>
        <w:t xml:space="preserve">relating to the exclusive control of the Bioclinic group by the Inovie group  </w:t>
        <w:br/>
        <w:t xml:space="preserve">The Competition Authority,  </w:t>
        <w:br/>
        <w:t xml:space="preserve">Having regard to the notification file submitted in full to the concentrations service on June 1, 2022, relating to the exclusive control of the Bioclinic group by the Inovie group, formalized by a sale option agreement dated April 22, 2022;  </w:t>
        <w:br/>
        <w:t xml:space="preserve">Having regard to Book IV of the Commercial Code relating to the freedom of prices and competition, and in particular its Articles L. 430-1 to L. 430-7;  </w:t>
        <w:br/>
        <w:t>Adopts the following decision:</w:t>
      </w:r>
    </w:p>
    <w:p>
      <w:r>
        <w:t xml:space="preserve">DECISION NO. 22-DCC-104 OF JUNE 24, 2022 RELATING TO THE EXCLUSIVE CONTROL OF THE BIOCLINIC GROUP BY THE INOVIE GROUP ............................................................................ 1  </w:t>
        <w:br/>
        <w:t xml:space="preserve">I. THE COMPANIES CONCERNED AND THE OPERATION ........................................................... 3  </w:t>
        <w:br/>
        <w:t xml:space="preserve">II. DELINEATION OF RELEVANT MARKETS ...................................................................... 3  </w:t>
        <w:br/>
        <w:t xml:space="preserve">A. The markets for the supply of equipment, reagents, and consumables for biology ................................................................................................................................... 4  </w:t>
        <w:br/>
        <w:t xml:space="preserve">1. Product markets ............................................................................................ 4  </w:t>
        <w:br/>
        <w:t xml:space="preserve">2. Geographical markets ..................................................................................... 4  </w:t>
        <w:br/>
        <w:t xml:space="preserve">B. The markets for the provision of medical biology tests ................................ 5  </w:t>
        <w:br/>
        <w:t xml:space="preserve">1. Service markets ........................................................................................... 5  </w:t>
        <w:br/>
        <w:t xml:space="preserve">2. Geographical markets ..................................................................................... 6  </w:t>
        <w:br/>
        <w:t xml:space="preserve">III. COMPETITIVE ANALYSIS ....................................................................................... 7  </w:t>
        <w:br/>
        <w:t xml:space="preserve">A. The markets for the supply of equipment, reagents, and consumables for biology ................................................................................................................................... 7  </w:t>
        <w:br/>
        <w:t xml:space="preserve">B. The markets for the provision of medical biology tests ................................ 8  </w:t>
        <w:br/>
        <w:t xml:space="preserve">a) On the overall market for the provision of medical biology tests .............. 8  </w:t>
        <w:br/>
        <w:t xml:space="preserve">b) On the market for specialized medical biology tests .............................. 8  </w:t>
        <w:br/>
        <w:t>c) On the market for routine medical biology tests ....................................... 8</w:t>
      </w:r>
    </w:p>
    <w:p>
      <w:r>
        <w:t xml:space="preserve">I. The companies concerned and the operation  </w:t>
        <w:br/>
        <w:t xml:space="preserve">1. The Inovie group (hereinafter "Inovie"), controlled by Inovie Holding which controls the Inovie Mid and Inovie Group holdings, is primarily active in the medical biology sector and operates a network of over 500 laboratories mainly located in the southern half of France, in Île-de-France, Réunion, and the Antilles.  </w:t>
        <w:br/>
        <w:t xml:space="preserve">2. The Bioclinic group (hereinafter "Bioclinic") is active in the medical biology sector through 83 laboratories located in Île-de-France and 3 technical platforms located in Quincy, Verdun, and Saint-Maur-des-Faussés.  </w:t>
        <w:br/>
        <w:t xml:space="preserve">3. The operation, formalized by a sale option agreement dated April 22, 2022, consists of the acquisition by Inovie Group of 25% of the share capital and voting rights and 99.99% of the financial rights of Bio-Clinic, the parent company of the Bioclinic group. The remaining capital (75%) will be held by biologists practicing in this company.  </w:t>
        <w:br/>
        <w:t xml:space="preserve">4. The statutes provide that the president of each liberal practice company (hereinafter "SEL") will be appointed by Inovie and that the management committee will consist of three members, including the president of Inovie and the president of the SEL appointed by Inovie. This committee will make strategic decisions within the meaning of competition law by majority vote. Since Inovie will hold the majority of votes (2/3) within the management committee of the SELs, it will be able to exert a decisive influence over them.  </w:t>
        <w:br/>
        <w:t xml:space="preserve">5. As it results in the exclusive control of Bioclinic by Inovie, the notified operation constitutes a concentration within the meaning of Article L. 430-1 of the Commercial Code.  </w:t>
        <w:br/>
        <w:t xml:space="preserve">6. The companies concerned together achieve a total worldwide turnover of over 150 million euros (Inovie: [≥ 150 million] euros for the fiscal year ending December 31, 2021; Bioclinic: [≤ 150 million] euros for the fiscal year ending December 31, 2021). Each of these companies achieves a turnover in France exceeding 50 million euros (Inovie: [≥ 50 million] euros for the fiscal year ending December 31, 2021; Bioclinic: [≥ 50 million] euros for the fiscal year ending December 31, 2021).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Delineation of relevant markets  </w:t>
        <w:br/>
        <w:t xml:space="preserve">7. The parties are simultaneously active, as buyers, in the market for the supply of equipment, reagents, and consumables for biology (A).  </w:t>
        <w:br/>
        <w:t>8. The parties are also simultaneously active in the medical biology sector. Indeed, Inovie and Bioclinic both own medical analysis laboratories whose activity consists of providing medical biology tests (B).</w:t>
      </w:r>
    </w:p>
    <w:p>
      <w:r>
        <w:rPr>
          <w:b/>
        </w:rPr>
        <w:t>[Pages 4–6]</w:t>
      </w:r>
    </w:p>
    <w:p>
      <w:r>
        <w:t>A. THE MARKETS FOR SUPPLYING EQUIPMENT, REAGENTS, AND BIOLOGY CONSUMABLES</w:t>
      </w:r>
    </w:p>
    <w:p>
      <w:r>
        <w:t>1. PRODUCT MARKETS</w:t>
      </w:r>
    </w:p>
    <w:p>
      <w:r>
        <w:t>9. Decision-making practice has considered segmenting the market for supplying equipment, reagents, and biology consumables into almost as many sectors of activity as there are products or consumables concerned by the analyses (culture media and serums, products for gene activation,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tests, and then into additional subcategories within each of them1. The Competition Authority has also considered a specific market for products related to the coronavirus disease covid-192.</w:t>
      </w:r>
    </w:p>
    <w:p>
      <w:r>
        <w:t>10. In any case, the question of the exact definition of the markets for supplying equipment, reagents, and biology consumables can be left open insofar as, regardless of the delimitation retained, the conclusions of the competitive analysis remain unchanged.</w:t>
      </w:r>
    </w:p>
    <w:p>
      <w:r>
        <w:t>11. In this case, the parties simultaneously purchase equipment, reagents, and consumables belonging to the following five categories: clinical chemistry, immunochemistry, hematology and histology, infectious immunology, and covid-19.</w:t>
      </w:r>
    </w:p>
    <w:p>
      <w:r>
        <w:t>2. GEOGRAPHICAL MARKETS</w:t>
      </w:r>
    </w:p>
    <w:p>
      <w:r>
        <w:t>12. Decision-making practice considers that the markets for supplying equipment, reagents, and biology consumables may have a European, or even global, dimension. While leaving the question open, the Authority has also examined, in previous operations, the effects on the network of suppliers and wholesalers at the national level only3.</w:t>
      </w:r>
    </w:p>
    <w:p>
      <w:r>
        <w:t>13. In any case, the question of the exact delimitation of these markets can be left open insofar as, regardless of the delimitation retained, the conclusions of the competitive analysis remain unchanged.</w:t>
      </w:r>
    </w:p>
    <w:p>
      <w:r>
        <w:t>14. In this case, the analysis will be conducted solely at the national level, the most conservative level.</w:t>
      </w:r>
    </w:p>
    <w:p>
      <w:r>
        <w:t>1 Decisions of the European Commission COMP/M.4321 – Siemens/Bayer Diagnostic of October 31, 2006, COMP/M.4865 – Siemens/Dade Behring of October 25, 2007, COMP/M.5661 – Abbott/Solvay Pharmaceuticals of February 11, 2010, COMP/M.6175 – Danaher/Beckman Coulter of June 16, 2011, and COMP/M.6944 Thermo Fisher Scientific/Life Technologies of November 26, 2013.</w:t>
      </w:r>
    </w:p>
    <w:p>
      <w:r>
        <w:t>2 Decisions of the Competition Authority No. 22-DCC-35 of April 27, 2022, relating to the exclusive control of Bio Pôle Antilles by the Inovie group, No. 22-DCC-55 of April 20, 2022, relating to the exclusive control of the Yourlab group by the Cerba group, No. 21-DCC-261 of December 23, 2021, relating to the exclusive control of the Labexa group by the Cerba group, and No. 21-DCC-131 of July 29, 2021, relating to the exclusive control of Oriade-Noviale by the Biogroup.</w:t>
      </w:r>
    </w:p>
    <w:p>
      <w:r>
        <w:t>3 Decisions of the European Commission COMP/M.4321 – Siemens/Bayer Diagnostic of October 31, 2006, COMP/M.4865 – Siemens/Dade Behring of October 25, 2007, COMP/M.5661 – Abbott/Solvay Pharmaceuticals of February 11, 2010, COMP/M.6175 – Danaher/Beckman Coulter of June 16, 2011, and COMP/M.6944 Thermo Fisher Scientific/Life Technologies of November 26, 2013.</w:t>
      </w:r>
    </w:p>
    <w:p>
      <w:r>
        <w:t>B. THE MARKETS FOR PROVIDING MEDICAL BIOLOGY TESTS</w:t>
      </w:r>
    </w:p>
    <w:p>
      <w:r>
        <w:t>1. SERVICE MARKETS</w:t>
      </w:r>
    </w:p>
    <w:p>
      <w:r>
        <w:t>15. In accordance with Article L. 6211-1 of the Public Health Code (hereinafter "CSP"), a medical biology test is "a medical act that contributes to the prevention, screening, diagnosis, or assessment of the risk of occurrence of pathological states, to the decision and therapeutic management, to the determination or monitoring of the physiological or pathophysiological state of the human being [...]".</w:t>
      </w:r>
    </w:p>
    <w:p>
      <w:r>
        <w:t>16. Medical biology tests consist of three phases: a pre-analytical phase, including in particular the collection of a biological sample and its transport to the location where it is analyzed, an analytical phase, and a post-analytical phase of interpretation and communication of the result to the prescriber. They are performed by a medical biologist or, for certain phases, under their responsibility, within a medical biology laboratory (hereinafter "LBM"), such as those owned by the parties.</w:t>
      </w:r>
    </w:p>
    <w:p>
      <w:r>
        <w:t>17. Public health considerations inspire the provisions that govern the activities of LBMs. A laboratory may thus be established, within the framework set by Article L. 6212-1 of the Public Health Code, on one or more sites. Samples may be collected at one site and transferred to another site of the same LBM, equipped with a technical platform, where the analytical phase is performed. Each site of an LBM must have at least one biologist capable of meeting the needs of the site, pursuant to Article L. 6222-6 of the Public Health Code. The activities of LBMs can only be subcontracted in limited proportions4. Furthermore, in order to ensure the continuity of the supply of medical biology, territoriality rules apply to LBMs. These include rules regarding the acquisition of social rights or mergers between LBMs, compliance with which falls solely under the control of regional health agencies (ARS).</w:t>
      </w:r>
    </w:p>
    <w:p>
      <w:r>
        <w:t>18. In their previous decision-making practice, national and European competition authorities have identified a market for providing medical biology tests. They have also considered, while leaving the question open, a segmentation between "routine" tests and specialized tests5. Indeed, practice indicates that the activity of routine medical biology laboratories is not substitutable for that of specialized laboratories that handle rare biology acts and are subject to specific ministerial approval.</w:t>
      </w:r>
    </w:p>
    <w:p>
      <w:r>
        <w:t>4 For more precision, refer to the opinion of the Competition Authority No. 19-A-08 of April 4, 2019, relating to the sectors of drug distribution in the city and private medical biology, § 1204 and following.</w:t>
      </w:r>
    </w:p>
    <w:p>
      <w:r>
        <w:t>5 Decisions of the Competition Authority No. 22-DCC-35 of April 27, 2022, relating to the exclusive control of Bio Pôle Antilles by the Inovie group, No. 22-DCC-55 of April 20, 2022, relating to the exclusive control of the Yourlab group by the Cerba group, No. 21-DCC-261 of December 23, 2021, relating to the exclusive control of the Labexa group by the Cerba group, No. 21-DCC-131 of July 29, 2021, relating to the exclusive control of Oriade-Noviale by the Biogroup, No. 20-DCC-92 of July 24, 2020, relating to the exclusive control of the Dyomedea-Neolab group by the Biogroup, No. 20-DCC-90 of July 17, 2020, relating to the exclusive control of the Laborizon group by the Biogroup, No. 18-DCC-70 of May 2, 2018, relating to the exclusive control of the Bio 7 group by the Cerba group, No. 15-DCC-140 of October 23, 2015, relating to the joint control of medical analysis laboratories by Euromezzanine and the Eimer consortium, No. 15-DCC-135 of October 7, 2015, relating to the exclusive control of Bio Alfras (Biomnis group) by Eurofins, No. 15-DCC-93 of July 13, 2015, relating to the exclusive control of Bio-Access by Eurofins, No. 15-DCC-18 of March 2, 2015, relating to the acquisition of Novescia SAS by Cerba European Lab SAS, No. 10-DCC-78 of July 19, 2010, relating to the acquisition of Cerba European Lab SAS by PAI Partners SAS, letters from the Minister of Economy, Industry and Employment C2008-106 of October 22, 2008, to the advisors of FCPR Duke Street Capital VI, relating to a concentration in the medical biology sector, BOCCRF No. 10 bis of December 22, 2008, of August 19, 2003, to the advisors of the Marcel Mérieux-Socamed laboratories group, relating to a concentration in the medical biology analysis sector, published in BOCCRF No. 2004-07, of December 11, 2002, to the managers of Astorg II, relating to a concentration in the medical biological analysis sector, published in BOCCRF No. 2004-04, and decision of the European Commission of May 21, 2010, COMP/M.5805, 3i/Vedici Group.</w:t>
      </w:r>
    </w:p>
    <w:p>
      <w:r>
        <w:t>19. The demand for routine medical biology tests primarily comes from patients, while the demand for specialized tests comes from LBMs and hospitals. As for the supply of specialized medical biology tests, it mainly comes from a few laboratories such as Cerba, Eurofins Biomnis, BPR, and university hospital centers. It partly consists of subcontracting services entrusted by LBMs, however, limited to 15% of the total activities of the LBM6.</w:t>
      </w:r>
    </w:p>
    <w:p>
      <w:r>
        <w:t>20. Furthermore, the decision-making practice of national and European authorities has considered that in terms of the supply of diagnostics and care7, it is not relevant to distinguish the supply based on whether it comes from private or public establishments8.</w:t>
      </w:r>
    </w:p>
    <w:p>
      <w:r>
        <w:t>21. Indeed, patients are free to have their analyses performed in a private medical biology laboratory or a public hospital9. Furthermore, in France, the pricing of medical biology tests is subject to a nomenclature that applies to the various operators10. In addition, the expenses for medical analyses are almost entirely covered by public funding sources (mainly social security) or private (mutuals and insurances in particular). Finally, medical analysis laboratories, whether private or public, are subject to a common legal framework and must in particular be accredited.</w:t>
      </w:r>
    </w:p>
    <w:p>
      <w:r>
        <w:t>22. There is no need to call into question these market delimitations in the context of this instruction.</w:t>
      </w:r>
    </w:p>
    <w:p>
      <w:r>
        <w:t>23. In this case, the competitive analysis will be conducted on the overall market for providing medical biology tests as well as on the markets relating to "routine" tests and specialized tests, on which the parties are simultaneously active.</w:t>
      </w:r>
    </w:p>
    <w:p>
      <w:r>
        <w:t>2. GEOGRAPHICAL MARKETS</w:t>
      </w:r>
    </w:p>
    <w:p>
      <w:r>
        <w:t>24. Decision-making practice has considered, while leaving the question open, to retain a national dimension for the market for specialized medical biology tests and a local dimension for the market for routine medical biology tests. Indeed, the demand and supply for routine analyses are at the local level, which is not the case for specialized analyses for which the suppliers are relatively few. Thus, the</w:t>
      </w:r>
    </w:p>
    <w:p>
      <w:r>
        <w:t>6 Articles L. 6211-19 and D. 6211-17 of the CSP.</w:t>
      </w:r>
    </w:p>
    <w:p>
      <w:r>
        <w:t>7 This is not the case in all Member States. Thus, the European Commission identified a market for private hospital care in the United Kingdom, while still a member of the EU (decisions COMP/M.4367 – APW/APSA/Nordic Capital/Capio of March 16, 2007, and COMP/M.4788 – Rozier/BHS of August 21, 2007).</w:t>
      </w:r>
    </w:p>
    <w:p>
      <w:r>
        <w:t>8 Decisions of the Competition Authority No. 22-DCC-35 of April 27, 2022, relating to the exclusive control of Bio Pôle Antilles by the Inovie group, No. 22-DCC-55 of April 20, 2022, relating to the exclusive control of the Yourlab group by the Cerba group, No. 21-DCC-261 of December 23, 2021, relating to the exclusive control of the Labexa group by the Cerba group, No. 21-DCC-131 of July 29, 2021, relating to the exclusive control of Oriade-Noviale by the Biogroup, No. 20-DCC-38 of February 28, 2020, relating to the exclusive control of Hexagone Santé Méditerranée and SCI Bonnefon-Carnot by the Elsan group, No. 19-DCC-261 of December 20, 2019, relating to the exclusive control of Mathilde Médical Développement by the Vivalto Santé group, No. 18-DCC-162 of October 15, 2018, relating to the exclusive control of the Capio group by Ramsay Générale de Santé, No. 17-DCC-95 of June 23, 2017, relating to the exclusive control of MédiPôle Partenaires by the Elsan group, No. 15-DCC-146 of October 26, 2015, relating to the exclusive control of Vitalia by Vedici Holding (CVC Capital Partners), letters from the Minister in charge of the economy C2007-91 to the board of Vitalia Développement 2, relating to a concentration in the sector of diagnostics and care in health establishments, C2007-80 of July 24, 2007, to the board of Vitalia Développement 1, relating to a concentration in the sector of care establishments in France, C2006-105 to the advisors of Capio santé SA, relating to a concentration in the sector of producing diagnostics and care in health establishments of October 26, 2006, and decisions of the European Commission COMP/M.7725 of August 28, 2015 – Vedici/Vitalia, COMP/M.7221 of April 24, 2014 – Bridgepoint Capital/Medipartenaires, and COMP/M.5805 of May 21, 2010 – 3i/Védici Group.</w:t>
      </w:r>
    </w:p>
    <w:p>
      <w:r>
        <w:t>9 This does, however, require that the laboratories of public hospitals are equipped to receive external public, a condition most often met but not systematically.</w:t>
      </w:r>
    </w:p>
    <w:p>
      <w:r>
        <w:t>10 Article L. 6211-21 of the CSP: "Subject to cooperations in the field of medical biology conducted between health establishments within the framework of agreements, health cooperation groups, or territorial hospital groups and subject to the cooperation contracts mentioned in Article L. 6212-6, medical biology tests are billed at the rate of medical biology acts set in application of Articles L. 162-1-7 and L. 162-1-7-1 of the Social Security Code."</w:t>
      </w:r>
    </w:p>
    <w:p>
      <w:r>
        <w:rPr>
          <w:b/>
        </w:rPr>
        <w:t>[Pages 7–9]</w:t>
      </w:r>
    </w:p>
    <w:p>
      <w:r>
        <w:t>competition authorities have examined the effects of operations on the market for routine medical biology tests at the regional or sub-regional, even departmental level11.</w:t>
      </w:r>
    </w:p>
    <w:p>
      <w:r>
        <w:t>25. However, in the sector of diagnostic and care supply in establishments, national decision-making practice12 also consistently considers that the Île-de-France region constitutes a unique geographical market and that it is not relevant to distinguish between Paris intramuros and the neighboring departments. It indeed notes that Île-de-France is characterized by a very significant mobility of patients, particularly given the extensive supply of care establishments and the existence of regional, even national, attraction centers.</w:t>
      </w:r>
    </w:p>
    <w:p>
      <w:r>
        <w:t>26. In any case, the question of the exact definition of these markets can be left open insofar as, regardless of the delimitation retained, the conclusions of the competitive analysis remain unchanged.</w:t>
      </w:r>
    </w:p>
    <w:p>
      <w:r>
        <w:t>27. In this case, the competitive analysis will be conducted at the national level for specialized medical biology tests and at the national, regional, and departmental levels for routine medical biology tests.</w:t>
      </w:r>
    </w:p>
    <w:p>
      <w:r>
        <w:t>III. Competitive Analysis</w:t>
      </w:r>
    </w:p>
    <w:p>
      <w:r>
        <w:t>28. The horizontal effects of the operation will be examined on the markets for the supply of equipment, reagents, and biology consumables (A) as well as on the markets for the provision of medical biology tests (B).</w:t>
      </w:r>
    </w:p>
    <w:p>
      <w:r>
        <w:t>A. THE MARKETS FOR SUPPLYING EQUIPMENT, REAGENTS, AND BIOLOGY CONSUMABLES</w:t>
      </w:r>
    </w:p>
    <w:p>
      <w:r>
        <w:t>29. The parties to the operation are involved in the markets for supplying equipment, reagents, and biology consumables as buyers for their own needs.</w:t>
      </w:r>
    </w:p>
    <w:p>
      <w:r>
        <w:t>30. The notifying party indicates that the combined amount of purchases by Inovie and Bioclinic in equipment, reagents, and biology consumables amounts to approximately [confidential] million euros in 2021. The parties primarily source from large international pharmaceutical groups such as Roche, Siemens, Abbott, or Beckman Coulter.</w:t>
      </w:r>
    </w:p>
    <w:p>
      <w:r>
        <w:t>31. At the national level, the notifying party estimates that the market share of the new entity in the market for supplying equipment, reagents, and biology consumables will be below 25%, regardless of the segmentation retained.</w:t>
      </w:r>
    </w:p>
    <w:p>
      <w:r>
        <w:t>32. Consequently, the operation is not likely to harm competition through horizontal effects in the markets for supplying equipment, reagents, and biology consumables, regardless of the segmentation considered.</w:t>
      </w:r>
    </w:p>
    <w:p>
      <w:r>
        <w:t>11 See the aforementioned decisions.</w:t>
      </w:r>
    </w:p>
    <w:p>
      <w:r>
        <w:t>12 Decision No. 15-DCC-140 of October 23, 2015, relating to the joint acquisition of medical analysis laboratories by the company Euromezzanine and the Eimer consortium.</w:t>
      </w:r>
    </w:p>
    <w:p>
      <w:r>
        <w:t>B. THE MARKETS FOR THE PROVISION OF MEDICAL BIOLOGY TESTS</w:t>
      </w:r>
    </w:p>
    <w:p>
      <w:r>
        <w:t>33. The parties are simultaneously present in the overall market for the provision of medical biology tests (a), in the market for specialized medical biology tests (b), and in the market for routine medical biology tests (c).</w:t>
      </w:r>
    </w:p>
    <w:p>
      <w:r>
        <w:t>a) In the overall market for the provision of medical biology tests</w:t>
      </w:r>
    </w:p>
    <w:p>
      <w:r>
        <w:t>34. The market share of the new entity is estimated to be below 25% in the overall market for the provision of medical biology tests at the national level.</w:t>
      </w:r>
    </w:p>
    <w:p>
      <w:r>
        <w:t>35. Furthermore, the main competitors of the new entity are national or even international laboratories such as Cerba, Eurofins Biomnis, Synlab, or Biogroup, in addition to public health establishments (hospitals).</w:t>
      </w:r>
    </w:p>
    <w:p>
      <w:r>
        <w:t>36. Given this market share and the presence of large competing groups, the operation is not likely to harm competition in this market through horizontal effects.</w:t>
      </w:r>
    </w:p>
    <w:p>
      <w:r>
        <w:t>b) In the market for specialized medical biology tests</w:t>
      </w:r>
    </w:p>
    <w:p>
      <w:r>
        <w:t>37. The market share of the new entity is estimated to be below 10% in the market for specialized medical biology tests at the national level. The notifying party specifies that Bioclinic and Inovie subcontract the majority of these tests to specialized laboratories, notably to [confidential].</w:t>
      </w:r>
    </w:p>
    <w:p>
      <w:r>
        <w:t>38. Furthermore, the parties face major international competing groups in the market for specialized medical biology tests such as Cerba, Eurofins Biomnis, or Biogroup, with estimated market shares of 40-50%, 20-30%, and 10-20% at the national level, respectively.</w:t>
      </w:r>
    </w:p>
    <w:p>
      <w:r>
        <w:t>39. Consequently, the operation is not likely to harm competition in the market for specialized medical biology tests through horizontal effects.</w:t>
      </w:r>
    </w:p>
    <w:p>
      <w:r>
        <w:t>c) In the market for routine medical biology tests</w:t>
      </w:r>
    </w:p>
    <w:p>
      <w:r>
        <w:t>40. In accordance with decision-making practice, the analysis of the market for routine medical biology tests will be conducted at the national and regional levels, as well as within the various departments where the activities of the parties overlap.</w:t>
      </w:r>
    </w:p>
    <w:p>
      <w:r>
        <w:t>41. In the markets for routine medical biology tests, price competition is limited, as, with certain exceptions, the price of the majority of acts is regulated. The price applicable to tests and associated ancillary fees (sampling and travel) is thus defined based on a nomenclature of acts. Some competition exists for acts outside the nomenclature offered by LBMs at freely set prices. For example, the price of serological tests for the coronavirus Covid-19 used during the health crisis in spring 2020 was, before their inclusion in the nomenclature at the end of 2020, freely set by each of the LBMs offering them. However, these acts outside the nomenclature represent a small proportion of the volume of acts performed.</w:t>
      </w:r>
    </w:p>
    <w:p>
      <w:r>
        <w:t>42. Competition among LBMs thus mainly occurs on elements independent of price, such as geographical proximity and the quality of services and service (opening hours, reporting times for results, range of analysis offerings, quality of patient reception, relationship between the biologist and the patient, etc.). Agreements concluded by LBMs with clinics and nursing homes may also confer a competitive advantage to these laboratories, due to the significant volume of tests that these partners ensure for them.</w:t>
      </w:r>
    </w:p>
    <w:p>
      <w:r>
        <w:t>43. To assess whether an operation is likely to harm competition in a market, the guidelines of the Competition Authority regarding the control of concentrations specify that the market shares of the new entity and its competitors and the degree of market concentration are notably examined13. These two criteria are assessed on a case-by-case basis by the Authority, which also takes into account the characteristics and functioning of the analyzed markets.</w:t>
      </w:r>
    </w:p>
    <w:p>
      <w:r>
        <w:t>44. Except for the national market, for which the parties have been able to provide estimates of market shares in value, the weight of the new entity in local markets, at the regional and departmental levels, has been expressed by the parties in volume, that is to say, in the number of sites, due to the lack of available data on the size of these markets.</w:t>
      </w:r>
    </w:p>
    <w:p>
      <w:r>
        <w:t>45. Furthermore, the laboratories of public hospitals are part of the relevant market, provided that their laboratories are equipped to receive the public and perform routine tests that are not reserved solely for hospitalized individuals. Given the lack of precise data available on this last point, the market shares in volume retained are based on a particularly conservative assumption, consisting of only retaining the market shares in the number of sites of private LBMs, without taking into account the LBMs of public hospitals.</w:t>
      </w:r>
    </w:p>
    <w:p>
      <w:r>
        <w:t>46. On this basis, the Authority has estimated that it can rule out any risk of harming competition when the market share in the number of sites of the new entity provided by the parties is below 50%, a threshold generally retained to presume the existence of significant market power14, and that the competition from alternative operators remaining in the market has been deemed sufficient.</w:t>
      </w:r>
    </w:p>
    <w:p>
      <w:r>
        <w:t>National level analysis</w:t>
      </w:r>
    </w:p>
    <w:p>
      <w:r>
        <w:t>47. The cumulative market share of the parties in value is estimated at [20-30]%. Furthermore, the new entity will face competition from private actors of national or even international dimensions, such as Biogroup, Cerba, Synlab, Eurofins, or Unilabs, as well as the presence of numerous public hospitals.</w:t>
      </w:r>
    </w:p>
    <w:p>
      <w:r>
        <w:t>48. Therefore, the operation is not likely to harm competition in the national market for routine medical biology tests through horizontal effects.</w:t>
      </w:r>
    </w:p>
    <w:p>
      <w:r>
        <w:t>Regional level analysis</w:t>
      </w:r>
    </w:p>
    <w:p>
      <w:r>
        <w:t>49. The activities of the parties overlap only within the Île-de-France region.</w:t>
      </w:r>
    </w:p>
    <w:p>
      <w:r>
        <w:t>50. Within this region, the market share of the new entity in the number of sites held by private laboratories is [10-20]%.</w:t>
      </w:r>
    </w:p>
    <w:p>
      <w:r>
        <w:t>51. Furthermore, in addition to the competition from public hospital laboratories, the new entity will face competition from a large number of private laboratories such as Cerba, Eurofins, Synlab, Unilabs, or Biogroup.</w:t>
      </w:r>
    </w:p>
    <w:p>
      <w:r>
        <w:t>52. Therefore, the operation is not likely to harm competition in the market for routine medical biology tests in the Île-de-France region.</w:t>
      </w:r>
    </w:p>
    <w:p>
      <w:r>
        <w:t>13 Guidelines of the Competition Authority regarding the control of concentrations, point 565 and following.</w:t>
      </w:r>
    </w:p>
    <w:p>
      <w:r>
        <w:t>14 The aforementioned guidelines, point 622.</w:t>
      </w:r>
    </w:p>
    <w:p>
      <w:r>
        <w:rPr>
          <w:b/>
        </w:rPr>
        <w:t>[Pages 10–11]</w:t>
      </w:r>
    </w:p>
    <w:p>
      <w:r>
        <w:t>Analysis at the departmental level</w:t>
      </w:r>
    </w:p>
    <w:p>
      <w:r>
        <w:t>53. The operation results in an overlap of activities between the parties in seven departments: Paris (75), Seine-et-Marne (77), Yvelines (78), Hauts-de-Seine (92)15, Seine-Saint-Denis (93), Val-de-Marne (94), and Val d'Oise (95). In these departments, the market share of the new entity in terms of the number of private laboratory sites is less than 25%.</w:t>
      </w:r>
    </w:p>
    <w:p>
      <w:r>
        <w:t>54. The market share of the new entity in terms of the number of private laboratory sites is estimated at [10-20]%16 in Paris, [10-20]% in Hauts-de-Seine, [10-20]% in Yvelines, [10-20]% in Seine-Saint-Denis, and [20-30]% in Seine-et-Marne. In these departments, the new entity will also face competition from a large number of private laboratories as well as public hospital laboratories.</w:t>
      </w:r>
    </w:p>
    <w:p>
      <w:r>
        <w:t>55. Consequently, the operation is not likely to harm competition in the departments of Paris, Hauts-de-Seine, Yvelines, Seine-Saint-Denis, and Seine-et-Marne.</w:t>
      </w:r>
    </w:p>
    <w:p>
      <w:r>
        <w:t>Departments where the market share of the new entity in terms of the number of private laboratory sites is between 25% and 50%</w:t>
      </w:r>
    </w:p>
    <w:p>
      <w:r>
        <w:t> Analysis of effects in the department of Val-de-Marne</w:t>
      </w:r>
    </w:p>
    <w:p>
      <w:r>
        <w:t>56. The market share of the new entity in terms of the number of private laboratory sites is [20-30]% (2 laboratories for Inovie and 25 laboratories for Bioclinic) in the department of Val-de-Marne.</w:t>
      </w:r>
    </w:p>
    <w:p>
      <w:r>
        <w:t>57. The new entity will continue to face competition from groups of private laboratories with national or even international reach such as Biogroup, Unilabs, Cerba, or Eurofins. It will also be confronted with competitive pressure from public hospitals.</w:t>
      </w:r>
    </w:p>
    <w:p>
      <w:r>
        <w:t>58. Given these elements, the operation is not likely to harm competition in the department of Val-de-Marne.</w:t>
      </w:r>
    </w:p>
    <w:p>
      <w:r>
        <w:t> Analysis in the department of Val d’Oise</w:t>
      </w:r>
    </w:p>
    <w:p>
      <w:r>
        <w:t>59. The market share of the new entity in terms of the number of private laboratory sites is [30-40]% (16 laboratories for Inovie and 12 laboratories for Bioclinic) in the department of Val d’Oise.</w:t>
      </w:r>
    </w:p>
    <w:p>
      <w:r>
        <w:t>60. The new entity will not only face competitive pressure from the public hospital laboratories in Val d’Oise but also from private laboratories such as Biogroup, Cerba, Eurofins, Ana L, or Biosmose.</w:t>
      </w:r>
    </w:p>
    <w:p>
      <w:r>
        <w:t>61. Therefore, the risk of harming competition through horizontal effects can be ruled out in the department of Val d’Oise.</w:t>
      </w:r>
    </w:p>
    <w:p>
      <w:r>
        <w:t>15 It is specified that the horizontal overlap in Hauts-de-Seine is based on the upcoming acquisition by the Inovie group of the laboratory [confidential], which operates 5 sites in Hauts-de-Seine, via the company [confidential]. The Inovie group currently operates no sites in Hauts-de-Seine.</w:t>
      </w:r>
    </w:p>
    <w:p>
      <w:r>
        <w:t>16 It is specified that this market share includes the sites of [confidential] ([confidential] laboratories) as these are currently being acquired by Inovie through its subsidiary [confidential].</w:t>
      </w:r>
    </w:p>
    <w:p>
      <w:r>
        <w:t>DECIDES</w:t>
      </w:r>
    </w:p>
    <w:p>
      <w:r>
        <w:t>Single Article: The operation notified under number 22-113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