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https://www.autoritedelaconcurrence.fr/fr/decision-de-controle-des-concentrations/relative-la-prise-de-controle-exclusif-du-groupe-biofutur</w:t>
      </w:r>
    </w:p>
    <w:p>
      <w:r>
        <w:t>Pages translated : 2</w:t>
      </w:r>
    </w:p>
    <w:p/>
    <w:p>
      <w:r>
        <w:rPr>
          <w:b/>
        </w:rPr>
        <w:t>[Pages 1–2]</w:t>
      </w:r>
    </w:p>
    <w:p>
      <w:r>
        <w:t xml:space="preserve">FRENCH REPUBLIC  </w:t>
        <w:br/>
        <w:t xml:space="preserve">Decision No. 21-DCC-257 of December 24, 2021  </w:t>
        <w:br/>
        <w:t xml:space="preserve">regarding the exclusive control of the Biofutur group by the  </w:t>
        <w:br/>
        <w:t xml:space="preserve">Inovie group  </w:t>
        <w:br/>
        <w:t xml:space="preserve">The Competition Authority,  </w:t>
        <w:br/>
        <w:t xml:space="preserve">Having regard to the complete notification file submitted to the mergers department on December 9, 2021,  </w:t>
        <w:br/>
        <w:t xml:space="preserve">concerning the exclusive control of the company Financière Laennec, the parent company of the Biofutur group, by the company Inovie Group, a company belonging to the Inovie group, formalized by a put option contract signed on October 30,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the Biofutur group by the Inovie group. These groups are active in the field of medical biology. It constitutes a concentration operation within the meaning of Article L. 430-1 of the Commercial Code.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21-272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