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https://www.autoritedelaconcurrence.fr/fr/decision-de-controle-des-concentrations/relative-la-prise-de-controle-exclusif-du-groupe-blampin</w:t>
      </w:r>
    </w:p>
    <w:p>
      <w:r>
        <w:t>Pages translated : 2</w:t>
      </w:r>
    </w:p>
    <w:p/>
    <w:p>
      <w:r>
        <w:rPr>
          <w:b/>
        </w:rPr>
        <w:t>[Pages 1–2]</w:t>
      </w:r>
    </w:p>
    <w:p>
      <w:r>
        <w:t xml:space="preserve">FRENCH REPUBLIC  </w:t>
        <w:br/>
        <w:t xml:space="preserve">Decision No. 22-DCC-224 of November 23, 2022  </w:t>
        <w:br/>
        <w:t xml:space="preserve">regarding the exclusive control acquisition of the Blampin group by the company  </w:t>
        <w:br/>
        <w:t xml:space="preserve">Orsero  </w:t>
        <w:br/>
        <w:t xml:space="preserve">The Competition Authority,  </w:t>
        <w:br/>
        <w:t xml:space="preserve">Having regard to the notification file submitted in full to the mergers department on November 7, 2022  </w:t>
        <w:br/>
        <w:t xml:space="preserve">concerning the exclusive control acquisition of Blampin SAS, the parent company of the Blampin group, by the company Orsero, formalized by a letter of intent dated July 27, 2022;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company Orsero of the Blampin group, active in the importation and wholesale distribution of fresh fruits and vegetables. The operation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22-248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