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https://www.autoritedelaconcurrence.fr/fr/decision-de-controle-des-concentrations/relative-la-prise-de-controle-exclusif-du-groupe-boncolac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22-DCC-131 of July 29, 2022  </w:t>
        <w:br/>
        <w:t xml:space="preserve">regarding the exclusive control acquisition of the Boncolac group and the  </w:t>
        <w:br/>
        <w:t>company Mag’M by Waterland</w:t>
      </w:r>
    </w:p>
    <w:p>
      <w:r>
        <w:t>The Competition Authority,</w:t>
      </w:r>
    </w:p>
    <w:p>
      <w:r>
        <w:t xml:space="preserve">Having regard to the complete notification file submitted to the mergers department on July 13, 2022,  </w:t>
        <w:br/>
        <w:t xml:space="preserve">concerning the exclusive control acquisition of the Boncolac group and Mag’M by Waterland,  </w:t>
        <w:br/>
        <w:t>formalized by a purchase agreement dated July 1,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exclusive control acquisition of the Boncolac group and Mag’M,  </w:t>
        <w:br/>
        <w:t xml:space="preserve">active in the bakery, pastry, and catering products markets, by Waterland. It constitutes a concentration within the meaning of Article L. 430-1 of the Commercial Code.  </w:t>
        <w:br/>
        <w:t>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22-153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