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https://www.autoritedelaconcurrence.fr/fr/decision-de-controle-des-concentrations/relative-la-prise-de-controle-exclusif-du-groupe-bpi-par-le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12-DCC-33 of March 7, 2012  </w:t>
        <w:br/>
        <w:t xml:space="preserve">regarding the exclusive control acquisition of the BPI group by the FCPR  </w:t>
        <w:br/>
        <w:t xml:space="preserve">France Special Situations Fund I  </w:t>
        <w:br/>
        <w:t>The Competition Authority,</w:t>
      </w:r>
    </w:p>
    <w:p>
      <w:r>
        <w:t xml:space="preserve">Having regard to the complete notification file submitted to the mergers department on February 17, 2012,  </w:t>
        <w:br/>
        <w:t xml:space="preserve">concerning the acquisition of the BPI group by the FCPR France Special Situations Fund I formalized  </w:t>
        <w:br/>
        <w:t>by an acquisition offer letter dated February 6, 2012;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FCPR France Special  </w:t>
        <w:br/>
        <w:t xml:space="preserve">Situations Fund I of the BPI group, active in business consulting in the field of human resources,  </w:t>
        <w:br/>
        <w:t xml:space="preserve">in France and abroad.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mentioned in point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12-029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