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https://www.autoritedelaconcurrence.fr/fr/decision-de-controle-des-concentrations/relative-la-prise-de-controle-exclusif-du-groupe-briconord</w:t>
      </w:r>
    </w:p>
    <w:p>
      <w:r>
        <w:t>Pages translated : 2</w:t>
      </w:r>
    </w:p>
    <w:p/>
    <w:p>
      <w:r>
        <w:rPr>
          <w:b/>
        </w:rPr>
        <w:t>[Pages 1–2]</w:t>
      </w:r>
    </w:p>
    <w:p>
      <w:r>
        <w:t xml:space="preserve">FRENCH REPUBLIC  </w:t>
        <w:br/>
        <w:t xml:space="preserve">Decision No. 25-DCC-94 of April 28, 2025  </w:t>
        <w:br/>
        <w:t>regarding the acquisition of exclusive control of the Briconord group by the companies Oddo BHF Opportunités Stratégiques and Oddo BHF Strategic Opportunities</w:t>
      </w:r>
    </w:p>
    <w:p>
      <w:r>
        <w:t>The Competition Authority,</w:t>
      </w:r>
    </w:p>
    <w:p>
      <w:r>
        <w:t>Having regard to the complete notification file submitted to the mergers department on April 4, 2025, concerning the acquisition of exclusive control of the Briconord group by the companies Oddo BHF Opportunités Stratégiques and Oddo BHF Strategic Opportunities, formalized by a purchase and investment promise dated March 28, 2025;</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acquisition by a company NewCo, an ad hoc structure specifically established for the purpose of the proposed operation and indirectly controlled by the Oddo group via the companies Oddo BHF Opportunités Stratégiques and Oddo BHF Strategic Opportunities, of all the capital and voting rights of the company Brico Invest, at the head of the Briconord group, which is active in the design, manufacture, and distribution of solutions for home improvement, hardware, and DIY.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