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https://www.autoritedelaconcurrence.fr/fr/decision-de-controle-des-concentrations/relative-la-prise-de-controle-exclusif-du-groupe-bva-par-la</w:t>
      </w:r>
    </w:p>
    <w:p>
      <w:r>
        <w:t>Pages translated : 2</w:t>
      </w:r>
    </w:p>
    <w:p/>
    <w:p>
      <w:r>
        <w:rPr>
          <w:b/>
        </w:rPr>
        <w:t>[Pages 1–2]</w:t>
      </w:r>
    </w:p>
    <w:p>
      <w:r>
        <w:t xml:space="preserve">FRENCH REPUBLIC  </w:t>
        <w:br/>
        <w:t xml:space="preserve">Decision No. 17-DCC-111 of July 12, 2017  </w:t>
        <w:br/>
        <w:t xml:space="preserve">regarding the exclusive control acquisition of the BVA group by the company  </w:t>
        <w:br/>
        <w:t xml:space="preserve">Naxicap Partners  </w:t>
        <w:br/>
        <w:t xml:space="preserve">The Competition Authority,  </w:t>
        <w:br/>
        <w:t xml:space="preserve">Having regard to the complete notification file sent to the mergers department on June 21, 2017,  </w:t>
        <w:br/>
        <w:t xml:space="preserve">concerning the exclusive control acquisition of the BVA group by the company Naxicap Partners, formalized  </w:t>
        <w:br/>
        <w:t xml:space="preserve">by a transfer protocol dated June 12,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Naxicap Partners of the  </w:t>
        <w:br/>
        <w:t xml:space="preserve">BVA group, which is active in the market research sector.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17-127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