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https://www.autoritedelaconcurrence.fr/fr/decision-de-controle-des-concentrations/relative-la-prise-de-controle-exclusif-du-groupe-cance-par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24-DCC-75 of April 19, 2024</w:t>
        <w:br/>
        <w:t>regarding the exclusive control acquisition of the Cancé group by the company</w:t>
        <w:br/>
        <w:t>Groupe Briand</w:t>
        <w:br/>
        <w:t>The Competition Authority,</w:t>
        <w:br/>
        <w:t>Having regard to the complete notification file sent to the mergers department on April 4, 2024,</w:t>
        <w:br/>
        <w:t>concerning the exclusive control acquisition of the companies Etablissements Cancé and Cancé – Construçoes Metalicas by the company Groupe Briand, formalized by a shareholders' agreement concluded between the company Cancé Développement and the company Groupe Briand on January 7, 2021, and modified by several amendments;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exclusive control acquisition by the company Groupe Briand of the companies Etablissements Cancé and Cancé – Construçoes Metalicas. The parties are active in the construction sector. The operation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24-040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