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https://www.autoritedelaconcurrence.fr/fr/decision-de-controle-des-concentrations/relative-la-prise-de-controle-exclusif-du-groupe-cap-vert-0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21-DCC-235 of December 2, 2021  </w:t>
        <w:br/>
        <w:t xml:space="preserve">regarding the exclusive control acquisition of the Cap Vert group by the  </w:t>
        <w:br/>
        <w:t xml:space="preserve">company Ambienta Sgr  </w:t>
        <w:br/>
        <w:t>The Competition Authority,</w:t>
      </w:r>
    </w:p>
    <w:p>
      <w:r>
        <w:t xml:space="preserve">Having regard to the complete notification file sent to the mergers department on  </w:t>
        <w:br/>
        <w:t xml:space="preserve">November 16, 2021, concerning the exclusive control acquisition of the Cap Vert group by the company  </w:t>
        <w:br/>
        <w:t>Ambienta Sgr, formalized by a share purchase agreement dated November 15, 2021;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exclusive control acquisition by the company Ambienta Sgr of the  </w:t>
        <w:br/>
        <w:t xml:space="preserve">Cap Vert group active in the sector of creation and maintenance of green spaces intended for  </w:t>
        <w:br/>
        <w:t xml:space="preserve">public and private clientele. It constitutes a concentration operation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the control thresholds mentioned in I of Article L. 430-2 of the Commercial Code are  </w:t>
        <w:br/>
        <w:t xml:space="preserve">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21-238 is authorized.  </w:t>
        <w:br/>
        <w:t xml:space="preserve">The acting 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