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https://www.autoritedelaconcurrence.fr/fr/decision-de-controle-des-concentrations/relative-la-prise-de-controle-exclusif-du-groupe-cap-vert</w:t>
      </w:r>
    </w:p>
    <w:p>
      <w:r>
        <w:t>Pages translated : 2</w:t>
      </w:r>
    </w:p>
    <w:p/>
    <w:p>
      <w:r>
        <w:rPr>
          <w:b/>
        </w:rPr>
        <w:t>[Pages 1–2]</w:t>
      </w:r>
    </w:p>
    <w:p>
      <w:r>
        <w:t xml:space="preserve">FRENCH REPUBLIC  </w:t>
        <w:br/>
        <w:t xml:space="preserve">Decision No. 15-DCC-98 of July 17, 2015  </w:t>
        <w:br/>
        <w:t xml:space="preserve">regarding the exclusive control acquisition of the Cap Vert Finance group by  </w:t>
        <w:br/>
        <w:t xml:space="preserve">The Carlyle Group  </w:t>
        <w:br/>
        <w:t xml:space="preserve">The Competition Authority,  </w:t>
        <w:br/>
        <w:t xml:space="preserve">Having regard to the complete notification file sent to the mergers department on June 26, 2015  </w:t>
        <w:br/>
        <w:t xml:space="preserve">concerning the exclusive control acquisition of the Cap Vert Finance group by The Carlyle  </w:t>
        <w:br/>
        <w:t xml:space="preserve">Group, via the investment funds Carlyle Europe Technology Partners III, L.P., CETP III  </w:t>
        <w:br/>
        <w:t xml:space="preserve">Coinvestment, L.P. and CETP III - F, L.P. (hereinafter the "CETP III investment funds"), and  </w:t>
        <w:br/>
        <w:t xml:space="preserve">materialized by an offer letter dated May 29, 2015 countersigned by the seller;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the Cap Vert Finance group,  </w:t>
        <w:br/>
        <w:t xml:space="preserve">whose activities include the provision of IT services, the recycling and maintenance  </w:t>
        <w:br/>
        <w:t xml:space="preserve">of IT equipment, by The Carlyle Group, via the CETP III investment funds. This operation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15-112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