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https://www.autoritedelaconcurrence.fr/fr/decision-de-controle-des-concentrations/relative-la-prise-de-controle-exclusif-du-groupe-capcom-par</w:t>
      </w:r>
    </w:p>
    <w:p>
      <w:r>
        <w:t>Pages translated : 8</w:t>
      </w:r>
    </w:p>
    <w:p/>
    <w:p>
      <w:r>
        <w:rPr>
          <w:b/>
        </w:rPr>
        <w:t>[Pages 1–3]</w:t>
      </w:r>
    </w:p>
    <w:p>
      <w:r>
        <w:t xml:space="preserve">FRENCH REPUBLIC  </w:t>
        <w:br/>
        <w:t xml:space="preserve">Decision No. 17-DCC-43 of April 7, 2017  </w:t>
        <w:br/>
        <w:t xml:space="preserve">regarding the exclusive control of the Capcom group by the  </w:t>
        <w:br/>
        <w:t>Federative Bank of Crédit Mutuel</w:t>
      </w:r>
    </w:p>
    <w:p>
      <w:r>
        <w:t xml:space="preserve">The Competition Authority,  </w:t>
        <w:br/>
        <w:t xml:space="preserve">Having regard to the notification file submitted to the merger service on January 16, 2017, and declared complete on March 3, 2017, concerning the exclusive control of the Capcom group by the Federative Bank of Crédit Mutuel, formalized by a transfer protocol dated December 22, 2016;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A. THE CONCERNED COMPANIES  </w:t>
        <w:br/>
        <w:t xml:space="preserve">1. THE ACQUIRER AND THE TARGET  </w:t>
        <w:br/>
        <w:t xml:space="preserve">1. The company Federative Bank of Crédit Mutuel (hereinafter "BFCM") is the holding company of a mutual banking group composed of 11 regional federations of Crédit Mutuel. The BFCM group engages in retail banking, financing banking, private banking, insurance, market, and venture capital activities. BFCM also controls the companies Circet Group1 and Connector2, active in the field of engineering, deployment, and maintenance of telecommunication infrastructures. BFCM also holds […]% of the capital of the company Euro Information Telecom (hereinafter "EIT") which operates various brands of "Mobile Virtual Network Operators" (hereinafter "MVNO") (NRJ Mobile, Auchan Telecom, Cofidis Mobile, CIC Mobile, and Crédit Mutuel Mobile).  </w:t>
        <w:br/>
        <w:t>2. Capcom Holding is a holding company that directly or indirectly controls the companies As.Com Multimédia, Cap.Com Technologie, SMS Holding (hereinafter collectively "Capcom group" or "Capcom"). Capcom is active in the sector of installation and maintenance services for telecommunications networks. It also conducts commercial activities on behalf of third parties (door-to-door sales and commercial promotion) and operates five retail outlets for telecommunication services, four of which are under the SFR brand and one multi-brand.</w:t>
      </w:r>
    </w:p>
    <w:p>
      <w:r>
        <w:t xml:space="preserve">B. THE OPERATION  </w:t>
        <w:br/>
        <w:t xml:space="preserve">3. Under the transfer protocol dated December 22, 2016, BFCM is to acquire 100% of the shares of Capcom. As it results in the exclusive control of Capcom by BFCM, the notified operation constitutes a concentration within the meaning of Article L. 430-1 of the Commercial Code.  </w:t>
        <w:br/>
        <w:t>4. The concerned companies together achieve a total worldwide turnover excluding taxes of more than 150 million euros (BFCM: […] euros for the fiscal year ending December 31, 2015; Capcom: […] euros for the fiscal year ending March 31, 2016). Each of these companies has achieved a turnover in France exceeding 50 million euros (BFCM: […] euros for the fiscal year ending December 31, 2015; Capcom: […] euros for the fiscal year ending March 31, 2016).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5. The parties are simultaneously active in the electrical engineering markets, and in particular in the market for the installation of telecommunications networks. They are also present in the market for the distribution of mobile telephony products and services.</w:t>
      </w:r>
    </w:p>
    <w:p>
      <w:r>
        <w:t xml:space="preserve">A. ELECTRICAL ENGINEERING MARKETS  </w:t>
        <w:br/>
        <w:t xml:space="preserve">1. PRODUCT MARKET  </w:t>
        <w:br/>
        <w:t xml:space="preserve">6. Regarding engineering services, decision-making practice3 has established a segmentation between the market for electrical engineering services, which includes installation and maintenance services for telecommunications networks, and the markets for mechanical engineering and climate engineering services.  </w:t>
        <w:br/>
        <w:t xml:space="preserve">7. Electrical engineering encompasses installation and maintenance services for telecommunications networks. Within electrical engineering, decision-making practice4 has considered the existence of three distinct segments related to (i) telecommunications, (ii) electrical substations, and (iii) high voltage lines. In any case, the question of the relevance of a segmentation between the different types of electrical engineering work can be left open in that, regardless of the segmentation adopted, the conclusions of the competitive analysis remain unchanged.  </w:t>
        <w:br/>
        <w:t xml:space="preserve">8. Competition authorities5 have also considered that the electrical engineering market could be subject to segmentation based on the type of work, distinguishing between maintenance work and installation work. In accordance with decision-making practice6, the parties consider that installation work includes the following service provisions: design, initial installation of equipment, maintenance, repair, and modernization of infrastructure. Maintenance corresponds to the organization of periodic inspection visits.  </w:t>
        <w:br/>
        <w:t xml:space="preserve">9. Furthermore, decision-making practice7 has recognized the existence of a segmentation based on the type of clientele, distinguishing between residential and non-residential clientele. Within the segment of electrical engineering for non-residential clientele, it has considered a sub-segmentation between (i) infrastructures, (ii) industry, and (iii) tertiary sector.  </w:t>
        <w:br/>
        <w:t xml:space="preserve">10. Finally, competition authorities8 have considered a segmentation of the markets for the installation and maintenance of telecommunications networks by distinguishing between work concerning the installation and maintenance of radio electronic communication equipment, on the one hand, and the installation and maintenance of electronic communication equipment, on the other hand.  </w:t>
        <w:br/>
        <w:t xml:space="preserve">11. In this case, the parties are simultaneously active in the market for the installation of telecommunications networks. The question of the exact delimitation of these markets can be left open.  </w:t>
        <w:br/>
        <w:t xml:space="preserve">3 See the decisions of the European Commission of August 31, 2012, Vinci / EVT Business, COMP / M.6623 and of March 26, 2010, Vinci / Cegelec, No. COMP / M.5701; the decision of the Competition Authority No. 15-DCC-72 of June 18, 2015, regarding the exclusive control of Altergis SAS by Veolia Environnement SA, the decision No. 09-DCC-30 of July 29, 2009, regarding the acquisition of the companies ETCM and GER2I Ensemblier by Eiffel Partici, as well as the letter from the Minister of Economy, Industry and Employment dated December 4, 2008, to the advisors of the company Eiffage, regarding a concentration in the sectors of multi-technical installation and maintenance and climate engineering work (C2008-117), and the letter from the Minister of Economy, Finance and Employment dated October 5, 2007, to the advisor of the company Forclom, regarding a concentration in the sector of industrial installation maintenance.  </w:t>
        <w:br/>
        <w:t xml:space="preserve">4 See in particular the decision of the European Commission No. COMP/M.5701 of March 26, 2010, cited above, the decision of the Competition Authority No. 13-DCC-29 of March 5, 2013, regarding the exclusive control of Gobé SAS by Scopelec, and the decision No. 15-DCC-72 cited above.  </w:t>
        <w:br/>
        <w:t xml:space="preserve">5 Id.  </w:t>
        <w:br/>
        <w:t xml:space="preserve">6 See in particular the decision of the European Commission No. COMP / M. 5701 cited above.  </w:t>
        <w:br/>
        <w:t xml:space="preserve">7 See in particular the letter from the Minister of Economy C2008-117 of December 4, 2008, to the advisors of the company Eiffage, regarding a concentration in the sectors of multi-technical installation and maintenance and climate engineering work, and the decisions of the European Commission No. COMP/M.5701 of March 26, 2010, cited above, and No. COMP/M.6623 of August 31, 2012 – Vinci/EVT Business.  </w:t>
        <w:br/>
        <w:t>8 Decisions of the Competition Authority No. 13-DCC-29 and No. 15-DCC-72 cited above.</w:t>
      </w:r>
    </w:p>
    <w:p>
      <w:r>
        <w:rPr>
          <w:b/>
        </w:rPr>
        <w:t>[Pages 4–6]</w:t>
      </w:r>
    </w:p>
    <w:p>
      <w:r>
        <w:t>open, with the conclusions of the competitive analysis remaining unchanged regardless of the segmentation adopted.</w:t>
      </w:r>
    </w:p>
    <w:p>
      <w:r>
        <w:t>2. GEOGRAPHIC MARKET</w:t>
      </w:r>
    </w:p>
    <w:p>
      <w:r>
        <w:t>12. European decision-making practice9 considers that electrical engineering markets are likely to be national in scope, due to the conditions of competition in these markets being similar across the entire French territory. However, it has also conducted a competitive analysis of these markets at the regional level and has left open the question of their exact geographic delimitation. Similarly, national decision-making practice10 has considered that these markets could have a national or regional dimension.</w:t>
      </w:r>
    </w:p>
    <w:p>
      <w:r>
        <w:t>13. In this case, the parties are simultaneously present in the Île-de-France, Auvergne, Burgundy, and Rhône-Alpes regions. They have provided an estimate of market share in these regions as well as at the national level. The question of the exact geographic delimitation of these markets can be left open, with the conclusions of the analysis remaining unchanged regardless of the delimitation adopted.</w:t>
      </w:r>
    </w:p>
    <w:p>
      <w:r>
        <w:t>B. MOBILE TELEPHONY MARKETS</w:t>
      </w:r>
    </w:p>
    <w:p>
      <w:r>
        <w:t>14. Decision-making practice distinguishes three mobile telephony markets: upstream, the wholesale market for access and call origination on mobile telephone networks (1); downstream, the retail market for mobile telephony (2) and the market for the distribution of mobile telephony products and services (3).</w:t>
      </w:r>
    </w:p>
    <w:p>
      <w:r>
        <w:t>15. In this case, the parties are simultaneously active in the retail distribution market for mobile telephony.</w:t>
      </w:r>
    </w:p>
    <w:p>
      <w:r>
        <w:t>1. RETAIL MARKET FOR MOBILE TELEPHONY</w:t>
      </w:r>
    </w:p>
    <w:p>
      <w:r>
        <w:t>16. Decision-making practice has consistently defined the retail market for mobile telephony as the one where, on the one hand, there is an offer (from MNOs or MVNOs) for the provision of mobile telephony services and, on the other hand, a demand consisting of end consumers, whether individuals or professionals11.</w:t>
      </w:r>
    </w:p>
    <w:p>
      <w:r>
        <w:t>17. Decision-making practice has also observed that new offers have developed, sharing the common point of allowing access to the internet on the go (browsing services and messaging services)12. It has therefore considered the existence of three distinct markets: that of standard mobile telephony offers, that of offers limited to permanent internet access, and finally that of mixed offers allowing for voice communications and internet access. The Authority has, however, recently noted that this distinction may no longer be relevant, as the evolution of offers no longer allows for segmentation based on the type of service offered13. Decision-making practice has furthermore considered segmenting the market based on customer categories, distinguishing between the general public and business customers.</w:t>
      </w:r>
    </w:p>
    <w:p>
      <w:r>
        <w:t>18. In this case, the parties to the operation offer their products to individual customers, with only EIT marketing offers aimed at professionals, albeit in a very marginal manner ([0-5]% of its total sales). The question of the exact delimitation of the retail mobile telephony markets can be left open, with the conclusions of the analysis remaining unchanged regardless of the hypothesis adopted.</w:t>
      </w:r>
    </w:p>
    <w:p>
      <w:r>
        <w:t>19. Geographically, national decision-making practice has specified that the retail mobile telephony market should be confined to metropolitan France, as the overseas departments and the territorial collectivities of Mayotte and Saint Pierre and Miquelon have particularities that lead to their distinction from the mainland14.</w:t>
      </w:r>
    </w:p>
    <w:p>
      <w:r>
        <w:t>20. In this case, the parties to the operation are only present in the mainland. There is no reason to challenge the decision-making practice in the context of this operation.</w:t>
      </w:r>
    </w:p>
    <w:p>
      <w:r>
        <w:t>2. MARKET FOR THE DISTRIBUTION OF MOBILE TELEPHONY PRODUCTS AND SERVICES</w:t>
      </w:r>
    </w:p>
    <w:p>
      <w:r>
        <w:t>21. Decision-making practice15 has defined a global market for the distribution of mobile telephony products and services that encompasses the sale of communication time, mobile telephony terminals, and other services to end consumers.</w:t>
      </w:r>
    </w:p>
    <w:p>
      <w:r>
        <w:t>22. In this market, distributors are either "single-brand" (distributing offers from a single operator) or "multi-brand" (distributing offers from several operators) with varying degrees of specialization. The different distribution channels can be presented according to the following typology:</w:t>
        <w:br/>
        <w:t>- integrated networks of mobile telephony operators;</w:t>
        <w:br/>
        <w:t>- specialized single-brand networks linked, without being integrated, to mobile telephony operators through an exclusive or quasi-exclusive partnership;</w:t>
        <w:br/>
        <w:t>- non-specialized single-brand networks (such as post offices or Crédit Mutuel-CIC bank agencies);</w:t>
        <w:br/>
        <w:t>- specialized multi-brand networks, whether telecom specialists or large specialized retail outlets (such as Fnac or Darty), integrated or not into distribution groups;</w:t>
        <w:br/>
        <w:t>- generalist multi-brand networks;</w:t>
        <w:br/>
        <w:t>- distance selling networks (internet, telephone sales, direct sales). The distributors grouped here can be single-brand or multi-brand and present varying degrees of specialization. It should be noted that MNOs and MVNOs have their own websites and telephone platforms.</w:t>
      </w:r>
    </w:p>
    <w:p>
      <w:r>
        <w:t>23. Decision-making practice16 has not segmented the global market for the distribution of mobile telephony products and services according to these different channels.</w:t>
      </w:r>
    </w:p>
    <w:p>
      <w:r>
        <w:t>24. In this case, Capcom holds five retail outlets under the SFR brand. EI telecom distributes products and services under the NRJ Mobile, Crédit Mutuel Mobile, CIC Mobile, Cofidis, and Auchan Télécom brands, in certain Crédit Mutuel and CIC agencies as well as in some Auchan retail outlets.</w:t>
      </w:r>
    </w:p>
    <w:p>
      <w:r>
        <w:t>25. There is no reason to challenge these delimitations during the examination of this operation.</w:t>
      </w:r>
    </w:p>
    <w:p>
      <w:r>
        <w:t>26. Decision-making practice17 has retained a local delimitation of the markets for the distribution of mobile telephony products and services, particularly considering that mobile telephony operators are constantly developing their own distribution networks, with a desire to have greater control over the distribution of their products and services. Decision-making practice18 has taken into account catchment areas defined by considering the territory of the municipality where the retail outlets concerned by the operation are located on the one hand, and by distinguishing between stores located in city centers and stores located in shopping centers on the other hand.</w:t>
      </w:r>
    </w:p>
    <w:p>
      <w:r>
        <w:t>27. Competition authorities also conduct a competitive analysis at the national level as distance selling can represent a significant share of mobile telephony service sales for certain operators19.</w:t>
      </w:r>
    </w:p>
    <w:p>
      <w:r>
        <w:t>28. In this case, the parties to the operation are simultaneously present in the municipalities of Paris, Montrouge, Antony, and Créteil. Regarding the city of Créteil, they have also provided an estimate of their market share at the Créteil Soleil shopping center. The question of the exact delimitation of these markets can, however, be left open, with the conclusions of the competitive analysis remaining unchanged regardless of the delimitations adopted.</w:t>
      </w:r>
    </w:p>
    <w:p>
      <w:r>
        <w:t>III. Competitive Analysis</w:t>
      </w:r>
    </w:p>
    <w:p>
      <w:r>
        <w:t>1. ELECTRICAL ENGINEERING MARKETS</w:t>
      </w:r>
    </w:p>
    <w:p>
      <w:r>
        <w:t>29. In the electrical engineering market, the new entity will hold a position of less than [0-5]% both at the national and regional levels. It will also continue to face competition from numerous players, including Vinci, Spie, Eiffage, and Bouygues.</w:t>
      </w:r>
    </w:p>
    <w:p>
      <w:r>
        <w:t>30. In the markets for the installation and maintenance of telecommunications networks, the position of the new entity will be less than [10-20]% regardless of the segmentation adopted.</w:t>
      </w:r>
    </w:p>
    <w:p>
      <w:r>
        <w:rPr>
          <w:b/>
        </w:rPr>
        <w:t>[Pages 7–8]</w:t>
      </w:r>
    </w:p>
    <w:p>
      <w:r>
        <w:t>on these markets it will remain subject to competition exercised by numerous groups such as those mentioned above.</w:t>
      </w:r>
    </w:p>
    <w:p>
      <w:r>
        <w:t>31. Consequently, the operation is not likely to harm competition in the electrical engineering markets and in the installation and maintenance of telecommunications networks.</w:t>
      </w:r>
    </w:p>
    <w:p>
      <w:r>
        <w:t>2. MARKETS FOR THE DISTRIBUTION OF MOBILE TELEPHONY PRODUCTS AND SERVICES</w:t>
      </w:r>
    </w:p>
    <w:p>
      <w:r>
        <w:t>a) At the national level</w:t>
      </w:r>
    </w:p>
    <w:p>
      <w:r>
        <w:t>32. At the national level, the market share of the new entity will remain limited to [0-5]%. Its main competitors are Orange ([40-50]%), Altice ([20-30]%), Bouygues Télécom ([10-20]%), Illiad ([10-20%]) as well as multi-operator distributors such as Coriolis ([0-5]%). Capcom's retail outlets will remain under the SFR brand. The operation is therefore not likely to affect the competitive conditions of other MVNOs.</w:t>
      </w:r>
    </w:p>
    <w:p>
      <w:r>
        <w:t>b) At the local level</w:t>
      </w:r>
    </w:p>
    <w:p>
      <w:r>
        <w:t>33. Regarding the calculation of market shares at the local level, decision-making practice has traditionally used as an indicator the ratio between the number of retail outlets controlled by the parties and the total number of retail outlets present in the area considered20.</w:t>
      </w:r>
    </w:p>
    <w:p>
      <w:r>
        <w:t>34. In Paris, the new entity estimates that the agencies of the Crédit Mutuel network represented [30-40]% of market share (with an increment of [0-5]% for Capcom's agencies). It will remain in competition with the agencies of La Poste ([40-50]%), Bouygues ([5-10]%), Darty ([0-5%]), Fnac ([0-5%]), Orange ([0-5%]), SFR ([5-10]%) as well as Free ([0-5]%).</w:t>
      </w:r>
    </w:p>
    <w:p>
      <w:r>
        <w:t>35. In Antony, it estimated that the agencies of BFCM represented [30-40]% of market share (with an increment of [5-10]% for Capcom's agencies). It will remain in competition with the agencies of La Poste ([50-60]%), Bouygues ([5-10]%), Orange ([5-10]%) and SFR ([5-10]%).</w:t>
      </w:r>
    </w:p>
    <w:p>
      <w:r>
        <w:t>36. In Créteil, it estimated that the agencies of BFCM represented [30-40]% of market share (with an increment of [5-10]% for Capcom's agencies). It will remain in competition with the agencies of La Poste ([20-30]%), Bouygues ([5-10]%), Darty ([5-10%]), Fnac ([5-10%]), Orange ([10-20]%) and SFR ([10-20]%). Regarding the Créteil Soleil shopping center, Capcom holds an SFR retail outlet and EIT holds a CIC agency distributing mobile telephony products and services. Other mobile telephony operators are also present, each with one retail outlet: Orange, Bouygues, Fnac, Darty, Lick, Mood as well as La Poste. The cumulative market share of the new entity would therefore be [20-30]% in the Créteil Soleil shopping center.</w:t>
      </w:r>
    </w:p>
    <w:p>
      <w:r>
        <w:t>37. In Montrouge, it estimated that the agencies of BFCM represented [30-40]% of market share (with an increment of [10-20]% for Capcom's agencies). It will remain in competition with the agencies of La Poste ([40-50]%), Orange ([10-20]%) and SFR ([10-20]%).</w:t>
      </w:r>
    </w:p>
    <w:p>
      <w:r>
        <w:t>38. However, these market shares calculated in terms of the number of agencies are quite unrepresentative of the actual commercial strength of the parties or that of competing operators. The Authority has already had the opportunity to observe that "networks indeed differ on a number of criteria, such as the competitive positioning (low cost/premium) of the offers, the date of entry into the market of the operator, the importance given to the mobile telephony distribution activity in the retail outlets and the breadth of the range offered to consumers, which are not reflected in an analysis based on the number of retail outlets" (emphasis added)21. In this case, the values thus obtained significantly overestimate the position of the parties to the operation. Thus, they specify that out of the […] retail outlets of EIT that marketed mobile telephony products in Paris, only […] retail outlets achieved more than […] sales per month. Moreover, in the municipalities of Antony, Créteil, and Montrouge, no retail outlet achieved more than […] sales per month. Finally, in the market for the distribution of mobile telephony products and services in 2015, EIT generated a turnover of […] euros and Capcom of […] euros on a total estimated market of […] euros.</w:t>
      </w:r>
    </w:p>
    <w:p>
      <w:r>
        <w:t>39. Consequently, the operation is not likely to harm competition in the markets for the distribution of mobile telephony products and services, neither at the national level nor at the level of the municipalities concerned.</w:t>
      </w:r>
    </w:p>
    <w:p>
      <w:r>
        <w:t>DECIDES</w:t>
      </w:r>
    </w:p>
    <w:p>
      <w:r>
        <w:t>Sole Article: The operation notified under number 16-267 is authorized.</w:t>
      </w:r>
    </w:p>
    <w:p>
      <w:r>
        <w:t>The President,</w:t>
        <w:br/>
        <w:t>Isabelle de Silva</w:t>
        <w:br/>
        <w:t>© Competition Authority</w:t>
      </w:r>
    </w:p>
    <w:p>
      <w:r>
        <w:t>21 See the decision of the Competition Authority n°14-DCC-179 of November 27, 2014, regarding the acquisition of control of Omer Telecom Limited by Numericable Group.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