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https://www.autoritedelaconcurrence.fr/fr/decision-de-controle-des-concentrations/relative-la-prise-de-controle-exclusif-du-groupe-capio-par</w:t>
      </w:r>
    </w:p>
    <w:p>
      <w:r>
        <w:t>Pages translated : 15</w:t>
      </w:r>
    </w:p>
    <w:p/>
    <w:p>
      <w:r>
        <w:rPr>
          <w:b/>
        </w:rPr>
        <w:t>[Pages 1–3]</w:t>
      </w:r>
    </w:p>
    <w:p>
      <w:r>
        <w:t>FRENCH REPUBLIC</w:t>
        <w:br/>
        <w:t>Decision No. 18-DCC-162 of October 15, 2018</w:t>
        <w:br/>
        <w:t>regarding the exclusive control of the Capio group by Ramsay Générale de Santé</w:t>
        <w:br/>
        <w:t>The Competition Authority,</w:t>
        <w:br/>
        <w:t>Having regard to the request for referral submitted on July 19, 2018, by Ramsay Générale de Santé, and the referral decision of the European Commission of August 13, 2018, made pursuant to Article 4, paragraph 4 of Regulation (EC) No. 139/2004 of the Council of January 20, 2004, on the control of concentrations between undertakings;</w:t>
        <w:br/>
        <w:t>Having regard to the complete notification file sent to the merger service on September 10, 2018, regarding the exclusive control of the Capio group by Ramsay Générale de Santé, formalized by a market announcement of a public takeover bid dated July 13, 2018;</w:t>
        <w:br/>
        <w:t>Having regard to Book IV of the Commercial Code relating to the freedom of prices and competition, and in particular Articles L. 430-1 to L. 430-7;</w:t>
        <w:br/>
        <w:t>Having regard to the additional elements transmitted by the notifying party during the investigation;</w:t>
        <w:br/>
        <w:t>Adopts the following decision:</w:t>
      </w:r>
    </w:p>
    <w:p>
      <w:r>
        <w:t>I. The concerned companies and the operation</w:t>
        <w:br/>
        <w:t>1. Ramsay Générale de Santé (hereinafter, "Ramsay GDS") is a public limited company under French law, operating 120 healthcare establishments in France and one healthcare establishment in Italy. Ramsay GDS is jointly controlled by Ramsay Health Care Limited (hereinafter, "RHC"), through its wholly-owned subsidiary Ramsay Health Care UK Limited, and by the Crédit Agricole group (hereinafter, "GCA"), through its wholly-owned subsidiary Predica SA (hereinafter, "Predica"). RHC is an Australian company that operates healthcare establishments in the United Kingdom, Australia, France, Indonesia, and Malaysia. GCA is a French banking and insurance services group. In France, Ramsay GDS establishments primarily offer services in medicine, surgery, obstetrics, neonatology, psychiatry and mental health, rehabilitation and follow-up care, oncology and radiotherapy, diagnostic activities, emergency and intensive care, and elective cosmetic surgery.</w:t>
        <w:br/>
        <w:t>2. Capio AB (publ) is a Swedish company at the head of the group of the same name (hereinafter, "Capio") which operates 180 healthcare establishments in Europe, of which 23 are located in France and offer the same services as the healthcare establishments of Ramsay GDS. Capio is listed on the Nasdaq Stockholm.</w:t>
        <w:br/>
        <w:t>3. On July 13, 2018, Ramsay GDS publicly announced a bid to purchase all shares of Capio AB (publ) at a price of 48.5 Swedish kronor (SEK) per share in cash. This offer is subject to several conditions precedent. One of these conditions stipulates that Capio's shareholders accept this offer if Ramsay GDS acquires at least 90% of Capio's shares. The public takeover bid for Capio by Ramsay GDS is considered a sufficiently advanced project, within the meaning of paragraph 113 of the guidelines on the control of concentrations and the first paragraph of Article L. 430-3 of the Commercial Code. It constitutes a concentration within the meaning of Article L. 430-1 of the Commercial Code in that it is intended to enable Ramsay GDS to acquire exclusive control of Capio.</w:t>
        <w:br/>
        <w:t>4. This operation falls under the jurisdiction of the European Union pursuant to Article 1, paragraph 2 of Regulation (EC) No. 139/2004 of the Council on concentrations. Indeed, the concerned companies have achieved a consolidated worldwide turnover excluding taxes of more than 5 billion euros (Ramsay GDS: 2.24 billion euros for the fiscal year ending June 31, 2018; Capio: 1.59 billion euros for the fiscal year ending December 31, 2017). Furthermore, each of them has achieved a turnover in the European Union exceeding 250 million euros (Ramsay GDS: [&gt; 250 million] euros for the fiscal year ending June 31, 2018; Capio: [&gt; 250 million] euros for the fiscal year ending December 31, 2017). Finally, the concerned companies do not generate more than two-thirds of their total turnover in the European Union within a single Member State.</w:t>
        <w:br/>
        <w:t>5. On July 19, 2018, Ramsay GDS requested the European Commission, by means of a reasoned memorandum, to fully refer the operation to the Competition Authority, pursuant to Article 4, paragraph 4 of the aforementioned Regulation No. 139/2004. By decision M.9038 dated August 13, 2018, the European Commission considered that the conditions for a referral to the Competition Authority were met. The exclusive control of Capio by Ramsay GDS is therefore subject, pursuant to IV of Article L. 430-2 of the Commercial Code, to French merger control. The notification of the operation was sent to the Competition Authority on September 10, 2018.</w:t>
      </w:r>
    </w:p>
    <w:p>
      <w:r>
        <w:t>II. Delimitation of Relevant Markets</w:t>
        <w:br/>
        <w:t>6. The operation primarily involves an overlap of activity between the parties in the sectors of the provision of diagnostics and hospital care and elective cosmetic surgery. Furthermore, the parties offer dialysis care in their healthcare establishments.</w:t>
      </w:r>
    </w:p>
    <w:p>
      <w:r>
        <w:t>A- SERVICE MARKETS</w:t>
        <w:br/>
        <w:t>1. PROVISION OF DIAGNOSTICS AND HOSPITAL CARE</w:t>
        <w:br/>
        <w:t>7. In France, the decisional practice of competition authorities considers it not relevant to distinguish the provision based on whether it comes from private or public establishments. Indeed, the patient is free to choose their establishment, public or private, without economic consideration, insofar as the reimbursement of care does not depend on the status of the establishment in which those services were provided. Moreover, the generalization to all public and private establishments of the financing method constituted by activity-based pricing (referred to as "T2A"), on the one hand, and patients' recourse to complementary insurance, on the other hand, tends to increase patients' freedom of choice regarding the establishment in which they wish to be treated. Furthermore, whether public or private, hospital establishments are generally intended to accommodate all patients, without economic or social consideration. Finally, all hospital establishments are subject to a common legal framework that defines the conditions for exercising their activity. This is regulated at the regional level by regional health agencies (hereinafter, "ARS"), with which they may enter into objective and means contracts, and at the national level by the High Authority of Health (hereinafter, "HAS"), which notably implements a certification system for healthcare establishments.</w:t>
        <w:br/>
        <w:t>8. However, this market is segmented by type of activity to take into account the strong specialization of practitioners and the services of hospital establishments, as well as the necessity for a hospital establishment to obtain specific authorizations from the ARS for the exercise of certain medical or surgical specialties.</w:t>
        <w:br/>
        <w:t>9. The decisional practice of competition authorities has thus considered a segmentation by "specialized activity groups" (hereinafter, "GAS"), corresponding to the major disciplines defined by the Public Health Code: medicine, surgery, obstetrics.</w:t>
      </w:r>
    </w:p>
    <w:p>
      <w:r>
        <w:rPr>
          <w:b/>
        </w:rPr>
        <w:t>[Pages 4–6]</w:t>
      </w:r>
    </w:p>
    <w:p>
      <w:r>
        <w:t>« MCO »), neonatology, psychiatry, follow-up and rehabilitation care (hereinafter, “SSR”), long-term care, oncology, diagnostic activities, emergencies, and resuscitation.</w:t>
      </w:r>
    </w:p>
    <w:p>
      <w:r>
        <w:t>10. A narrower segmentation of these markets by “major diagnostic category” (hereinafter, “CMD”) has also been considered according to the classification of procedures established by the medicalization program of information systems (hereinafter, “PMSI”) implemented for activity-based pricing. This classification consists, according to the Technical Agency for Information on Hospitalization (hereinafter, “ATIH”), of grouping MCO activity into 28 “major categories,” of which 26 CMDs most often correspond to a “functional system.”</w:t>
      </w:r>
    </w:p>
    <w:p>
      <w:r>
        <w:t>11. The 26 CMDs (numbered from CMD 1 to CMD 23, plus CMD 25, 26, and 28) are as follows:</w:t>
        <w:br/>
        <w:t>• CMD 1 diseases of the nervous system</w:t>
        <w:br/>
        <w:t>• CMD 2 diseases of the eye</w:t>
        <w:br/>
        <w:t>• CMD 3 diseases of the ears, nose, throat, mouth, and teeth</w:t>
        <w:br/>
        <w:t>• CMD 4 diseases of the respiratory system</w:t>
        <w:br/>
        <w:t>• CMD 5 diseases of the circulatory system</w:t>
        <w:br/>
        <w:t>• CMD 6 diseases of the digestive tract</w:t>
        <w:br/>
        <w:t>• CMD 7 diseases of the hepatobiliary system and pancreas</w:t>
        <w:br/>
        <w:t>• CMD 8 diseases and injuries of the musculoskeletal system and connective tissue</w:t>
        <w:br/>
        <w:t>• CMD 9 diseases of the skin, subcutaneous tissues, and breasts</w:t>
        <w:br/>
        <w:t>• CMD 10 endocrine, metabolic, and nutritional diseases</w:t>
        <w:br/>
        <w:t>• CMD 11 diseases of the kidney and urinary tract</w:t>
        <w:br/>
        <w:t>• CMD 12 diseases of the male genital system</w:t>
        <w:br/>
        <w:t>• CMD 13 diseases of the female genital system</w:t>
        <w:br/>
        <w:t>• CMD 14 pathological pregnancies, childbirth, and postpartum conditions</w:t>
        <w:br/>
        <w:t>• CMD 15 newborns, premature infants, and conditions of the perinatal period</w:t>
        <w:br/>
        <w:t>• CMD 16 diseases of the blood and hematopoietic organs</w:t>
        <w:br/>
        <w:t>• CMD 17 myeloproliferative diseases and tumors of unspecified or diffuse sites</w:t>
        <w:br/>
        <w:t>• CMD 18 infectious and parasitic diseases</w:t>
        <w:br/>
        <w:t>• CMD 19 mental diseases and disorders</w:t>
        <w:br/>
        <w:t>• CMD 20 organic mental disorders related to drug use or induced by it</w:t>
        <w:br/>
        <w:t>• CMD 21 injuries, allergies, and poisonings</w:t>
        <w:br/>
        <w:t>• CMD 22 burns</w:t>
        <w:br/>
        <w:t>• CMD 23 factors influencing health status and other reasons for using health services</w:t>
        <w:br/>
        <w:t>• CMD 25 diseases due to HIV infection</w:t>
        <w:br/>
        <w:t>• CMD 26 severe multiple injuries</w:t>
        <w:br/>
        <w:t>• CMD 28 sessions</w:t>
      </w:r>
    </w:p>
    <w:p>
      <w:r>
        <w:t>12. This segmentation allows for the distinction of all medical procedures performed within hospital establishments according to both medical and functional criteria, taking into account the parts of the body treated, and economic criteria, with stays or admissions classified in the same group involving the use of similar resources.</w:t>
      </w:r>
    </w:p>
    <w:p>
      <w:r>
        <w:t>13. Finally, a sub-segmentation of each CMD based on the presence or absence of a surgical procedure (hereinafter, “AO” in the presence of a surgical procedure and “ANO” in the absence of a surgical procedure) has also been considered. This sub-segmentation allows for a better understanding of the increased differentiation between public and private establishments, due to the greater specialization of private establishments in surgical activity.</w:t>
      </w:r>
    </w:p>
    <w:p>
      <w:r>
        <w:t>14. In any event, the question of the exact definition of the markets for the provision of diagnostics and hospital care can be left open, as the conclusions of the competitive analysis remain unchanged, regardless of the delineation adopted.</w:t>
      </w:r>
    </w:p>
    <w:p>
      <w:r>
        <w:t>2. THE PROVISION OF DIALYSIS CARE</w:t>
      </w:r>
    </w:p>
    <w:p>
      <w:r>
        <w:t>15. Competition authorities have questioned the existence of a distinct market for the provision of dialysis care. However, it follows from European decisional practice that this type of care cannot be distinguished from other comparable hospital care offerings. Furthermore, the Competition Authority has considered a distinct segment of care falling under CMD 28 (sessions), to which dialysis care belongs.</w:t>
      </w:r>
    </w:p>
    <w:p>
      <w:r>
        <w:t>16. In any event, the question of the existence of a distinct market for the provision of dialysis care can be left open, as the conclusions of the competitive analysis remain unchanged, regardless of the delineation adopted.</w:t>
      </w:r>
    </w:p>
    <w:p>
      <w:r>
        <w:t>3. ELECTIVE COSMETIC SURGERY</w:t>
      </w:r>
    </w:p>
    <w:p>
      <w:r>
        <w:t>17. The Social Security Code defines an activity of cosmetic surgery, sometimes referred to as “elective,” distinct from diagnostics and hospital care, which gives rise to billing, without coverage by mandatory social security schemes.</w:t>
      </w:r>
    </w:p>
    <w:p>
      <w:r>
        <w:t>18. The Competition Authority has considered that this market includes all activities related to elective cosmetic surgery, whether performed within healthcare establishments, independent cosmetic surgery centers, or private practices.</w:t>
      </w:r>
    </w:p>
    <w:p>
      <w:r>
        <w:t>19. In any event, the question of the existence of a market for elective cosmetic surgery can be left open, as the conclusions of the competitive analysis remain unchanged, regardless of the delineation adopted.</w:t>
      </w:r>
    </w:p>
    <w:p>
      <w:r>
        <w:t>B- GEOGRAPHICAL MARKETS</w:t>
      </w:r>
    </w:p>
    <w:p>
      <w:r>
        <w:t>1. THE SUPPLY OF DIAGNOSTICS AND HOSPITAL CARE</w:t>
      </w:r>
    </w:p>
    <w:p>
      <w:r>
        <w:t>20. The European Commission considers that the markets for the supply of diagnostics and hospital care can be local in scope, corresponding to areas accessible within a thirty-minute travel time by car.</w:t>
      </w:r>
    </w:p>
    <w:p>
      <w:r>
        <w:t>21. The Competition Authority, taking into account the regulatory instruments used by the ARS, considers that the markets for the supply of diagnostics and hospital care can be local, departmental, or regional in scope. This perimeter is particularly dependent on the specialty concerned. The Competition Authority has specifically noted that the size of the areas from which patients come can vary, not only depending on the establishment and the medical-surgical specialties practiced there, but also depending on the region considered, its population density, and its level of equipment in hospital care establishments. Finally, the coverage by health insurance of transportation costs incurred by certain patients tends to increase their willingness to travel for care.</w:t>
      </w:r>
    </w:p>
    <w:p>
      <w:r>
        <w:t>22. The Competition Authority has thus examined, on a case-by-case basis, the travel times between the hospital care establishments of the parties to a concentration. It has notably observed that patients generally travel for a time ranging from 30 minutes to one hour in the departments of Var, Aude, and Pas-de-Calais, as well as in the former Limousin region. Regarding the Île-de-France region, the Competition Authority has considered it to constitute a unique geographical market. It has noted that it is characterized by very high patient mobility, particularly given the extensive offer of hospital care establishments and the existence of regional, if not national, attraction centers.</w:t>
      </w:r>
    </w:p>
    <w:p>
      <w:r>
        <w:rPr>
          <w:b/>
        </w:rPr>
        <w:t>[Pages 7–9]</w:t>
      </w:r>
    </w:p>
    <w:p>
      <w:r>
        <w:t>23. In decision no. 17-DCC-195 mentioned above, the Competition Authority first analyzed the effects of the operation at the regional level (in the sense of administrative regions prior to the adoption of the territorial reform law of 2015) and at the departmental level. Then, for the areas where, due to the concentration, the position of the new entity reached 50% in at least one market or segment defined above, the geographical delineation was refined to reflect the reality of the journeys made by patients. The competitive analysis was thus supplemented by examining the effects of the operation in areas corresponding to a thirty-minute and a one-hour travel radius by car around the target establishments, regardless of the region concerned. However, in this case, the new entity does not hold a market share exceeding 50% at the regional or departmental levels, regardless of the market or segment considered, so that a complementary local analysis is not necessary.</w:t>
      </w:r>
    </w:p>
    <w:p>
      <w:r>
        <w:t>24. In this case, the activities of the parties overlap in four regions: Île-de-France, Rhône-Alpes, Midi-Pyrénées, and Provence-Alpes-Côte d’Azur.</w:t>
      </w:r>
    </w:p>
    <w:p>
      <w:r>
        <w:t>25. In this case, there is no need to challenge the geographical definition of the markets for the provision of diagnostics and hospital care that was retained in decision no. 17-DCC-195 mentioned above.</w:t>
      </w:r>
    </w:p>
    <w:p>
      <w:r>
        <w:t>2. THE PROVISION OF DIALYSIS CARE</w:t>
      </w:r>
    </w:p>
    <w:p>
      <w:r>
        <w:t>26. The European Commission has considered the existence of a market for dialysis services, leaving open the question of its geographical dimension, namely national or regional/local.</w:t>
      </w:r>
    </w:p>
    <w:p>
      <w:r>
        <w:t>27. In this case, the question of the exact definition of a market for the provision of dialysis care can also be left open, as the conclusions of the competitive analysis remain unchanged, regardless of the delineation adopted.</w:t>
      </w:r>
    </w:p>
    <w:p>
      <w:r>
        <w:t>3. ELECTIVE COSMETIC SURGERY</w:t>
      </w:r>
    </w:p>
    <w:p>
      <w:r>
        <w:t>28. The Competition Authority has retained at least a regional dimension for this market. Indeed, given the generally high price of elective cosmetic surgery operations (which includes hospitalization costs and practitioners' fees), the scheduled nature of the interventions, and the importance of practitioners' reputation, the distance that patients are willing to travel is longer than for diagnostic and hospital care acts.</w:t>
      </w:r>
    </w:p>
    <w:p>
      <w:r>
        <w:t>29. In any event, the question of the exact definition of the market for elective cosmetic surgery can be left open, as the conclusions of the competitive analysis remain unchanged, regardless of the delineation adopted.</w:t>
      </w:r>
    </w:p>
    <w:p>
      <w:r>
        <w:t>20 Although the merger of administrative regions due to law no. 2015-29 of January 16, 2015, has led to a restructuring of the ARS, this administrative reorganization has not had the effect of broadening the scope of geographical markets. In this case, the conclusions of the competitive analysis remain unchanged when the analysis is conducted at the level of the current administrative regions.</w:t>
      </w:r>
    </w:p>
    <w:p>
      <w:r>
        <w:t>21 Decision COMP/M.7725 mentioned above.</w:t>
      </w:r>
    </w:p>
    <w:p>
      <w:r>
        <w:t>22 Decision no. 17-DCC-95 mentioned above.</w:t>
      </w:r>
    </w:p>
    <w:p>
      <w:r>
        <w:t>III. Competitive Analysis</w:t>
      </w:r>
    </w:p>
    <w:p>
      <w:r>
        <w:t>A- SPECIFICITIES OF THE HEALTH SECTOR</w:t>
      </w:r>
    </w:p>
    <w:p>
      <w:r>
        <w:t>1. CALCULATION OF THE POSITIONS OF GROUPS OF HOSPITAL CARE ESTABLISHMENTS</w:t>
      </w:r>
    </w:p>
    <w:p>
      <w:r>
        <w:t>30. To estimate the positions of the new entity in the markets for the provision of hospital care and diagnostics, the notifying party used the national public database of the PMSI of the ATIH, which compiles statistics from French healthcare establishments. The positions were calculated based on the number of stays, in accordance with the decisional practice of the Competition Authority.</w:t>
      </w:r>
    </w:p>
    <w:p>
      <w:r>
        <w:t>31. This method was applied to both private and public hospital care establishments.</w:t>
      </w:r>
    </w:p>
    <w:p>
      <w:r>
        <w:t>2. ANTICOMPETITIVE EFFECTS THAT MAY RESULT FROM EXCESSIVE CONCENTRATION OF THE SUPPLY OF HOSPITAL CARE AND DIAGNOSTICS</w:t>
      </w:r>
    </w:p>
    <w:p>
      <w:r>
        <w:t>32. Health is a sector that presents very specific economic and regulatory operating modalities, sometimes complex, in which the implementation of competition rules must be adapted to existing specificities. The forms of competition between healthcare establishments and the assessment of the effect of their concentration on the functioning of unregulated markets have therefore been analyzed in light of the protection of patient welfare, but also the interests of practitioners who provide their services to healthcare establishments and the performance of the current regulatory system for hospital care and diagnostics in France, in accordance with the decisional practice of the Competition Authority in this sector.</w:t>
      </w:r>
    </w:p>
    <w:p>
      <w:r>
        <w:t>a) Types of potential effects</w:t>
      </w:r>
    </w:p>
    <w:p>
      <w:r>
        <w:t>(i) Pricing effects</w:t>
      </w:r>
    </w:p>
    <w:p>
      <w:r>
        <w:t>33. The examination of the horizontal effects of a concentration in the sector of the provision of hospital care and diagnostics must take into account the specific mechanisms of price setting and the existence of particularities inherent to the French healthcare system. Indeed, the prices of care services provided by public and private establishments are regulated and set annually at the national level, within the framework of the activity-based pricing system (T2A). Each care activity corresponds to a flat-rate price for the service that the establishment can charge. Healthcare establishments do not have the ability to deviate from these prices. Consequently, private clinics cannot, due to the applicable regulatory framework, unilaterally increase the price of the contracted care they provide. These flat-rate prices concern the vast majority of care services.</w:t>
      </w:r>
    </w:p>
    <w:p>
      <w:r>
        <w:t>34. The pricing of ancillary services (referred to as "hospitality" services) is, however, freely determined by healthcare establishments. These services are defined in Article R. 162-27 of the Social Security Code and include: the surcharge for a private room, accommodation and meals for companions, television, telephone, and exceptional services. An excessive concentration of healthcare establishments in a relevant geographical area is therefore likely to lead to an increase in the rates of these services, to the detriment of patients.</w:t>
      </w:r>
    </w:p>
    <w:p>
      <w:r>
        <w:t>35. Other potential effects have been identified by the Competition Authority: the holding by the same group of market shares exceeding 50% in at least two CMDs is likely to encourage the new entity to raise the price of ancillary services. This analytical criterion, which also allows for the understanding of strong positions on the GAS, is consistent with the decisional practice of the Competition Authority in the healthcare sector where it has considered that holding a very strong position in a single CMD is not, by itself, constitutive of market power.</w:t>
      </w:r>
    </w:p>
    <w:p>
      <w:r>
        <w:t>(ii) Effects on the quality and diversity of services</w:t>
      </w:r>
    </w:p>
    <w:p>
      <w:r>
        <w:t>36. The ARS, which grant activity authorizations, carry out inspection-control missions regarding the installation and operation conditions of care activities that may lead to compliance orders, suspension, or withdrawal of authorization, under the conditions provided for in Article L. 6122-13 of the Public Health Code. Furthermore, the HAS conducts certification of healthcare establishments every four to six years to evaluate the quality of services provided by hospitals and clinics in France. Thus, the possibility of degrading the quality of care itself following the operation appears limited by the existence of these safeguards.</w:t>
      </w:r>
    </w:p>
    <w:p>
      <w:r>
        <w:t>37. However, the Competition Authority considers that a company holding significant positions in at least two CMDs is likely to degrade the quality of the care offer, being incentivized to reorganize its services among the establishments it owns. A hospital group may thus be encouraged to concentrate its activity in the CMDs generating the largest volumes of activity to achieve synergies. This reallocation of resources is likely to be carried out to the detriment of the CMDs in which the group's activity is the least significant, potentially leading to service closures, which would reduce the diversity of care offered to patients in the same geographical area.</w:t>
      </w:r>
    </w:p>
    <w:p>
      <w:r>
        <w:t>(iii) Conglomerate effects</w:t>
      </w:r>
    </w:p>
    <w:p>
      <w:r>
        <w:t>38. Care authorizations are granted by the ARS and do not necessarily cover the CMDs. Some are related. Practitioners can distribute their activity among several establishments by primarily practicing in one establishment for one activity and secondarily in another establishment for a related activity. A concentration operation, by bringing together within the same group several related care activity authorizations, is likely to encourage a hospital group to condition the possibility for practitioners primarily linked to a third establishment to exercise or continue exercising part of their activity within one of its establishments on the termination of the primary practice contract. This behavior would allow a hospital group, which holds strong positions linked to the holding of several activity authorizations, to "capture" practitioners from competing establishments, which is likely to</w:t>
      </w:r>
    </w:p>
    <w:p>
      <w:r>
        <w:rPr>
          <w:b/>
        </w:rPr>
        <w:t>[Pages 10–12]</w:t>
      </w:r>
    </w:p>
    <w:p>
      <w:r>
        <w:t>threaten the attractiveness and viability of the latter and, ultimately, reduce the alternatives offered to patients in a given territory.</w:t>
      </w:r>
    </w:p>
    <w:p>
      <w:r>
        <w:t>B- HORIZONTAL EFFECTS</w:t>
      </w:r>
    </w:p>
    <w:p>
      <w:r>
        <w:t>1. THE PROVISION OF HOSPITAL CARE AND DIAGNOSTICS</w:t>
      </w:r>
    </w:p>
    <w:p>
      <w:r>
        <w:t>39. The operation results in overlaps of activity between the parties in the following regions: (a) Île-de-France, (b) Rhône-Alpes, (c) Midi-Pyrénées, (d) Provence-Alpes-Côte d’Azur.</w:t>
      </w:r>
    </w:p>
    <w:p>
      <w:r>
        <w:t>40. The market shares presented in this decision for the CMD segments take into account the sub-segmentation of surgical/non-surgical acts.</w:t>
      </w:r>
    </w:p>
    <w:p>
      <w:r>
        <w:t>a) Effects of the operation in Île-de-France</w:t>
      </w:r>
    </w:p>
    <w:p>
      <w:r>
        <w:t>41. The operation results in an overlap of activities in Île-de-France, as Ramsay GDS holds 45 healthcare establishments in this region and Capio holds 3 establishments there.</w:t>
      </w:r>
    </w:p>
    <w:p>
      <w:r>
        <w:t>42. Regardless of the GAS analyzed, the position of the new entity is less than or equal to 25%.</w:t>
      </w:r>
    </w:p>
    <w:p>
      <w:r>
        <w:t>43. Regarding the positions of the new entity by CMD, they are below 50%. Its strongest position concerns surgical acts related to conditions and traumas of the musculoskeletal system and connective tissue (CMD 8): [30-40]% (Ramsay GDS: [30-40]%; Capio: [0-5]%).</w:t>
      </w:r>
    </w:p>
    <w:p>
      <w:r>
        <w:t>44. Therefore, the operation is not likely to harm competition through horizontal effects in Île-de-France.</w:t>
      </w:r>
    </w:p>
    <w:p>
      <w:r>
        <w:t>b) Effects of the operation in Rhône-Alpes</w:t>
      </w:r>
    </w:p>
    <w:p>
      <w:r>
        <w:t>45. The operation results in an overlap of activity between the parties in Rhône-Alpes, specifically in the Rhône department (69). Indeed, Ramsay GDS holds 17 healthcare establishments in this region, including 8 in the Rhône department. Capio holds 5 establishments there, all located in the Rhône department.</w:t>
      </w:r>
    </w:p>
    <w:p>
      <w:r>
        <w:t>At the level of the former Rhône-Alpes region</w:t>
      </w:r>
    </w:p>
    <w:p>
      <w:r>
        <w:t>46. Regardless of the GAS analyzed, the position of the new entity is less than 25%.</w:t>
      </w:r>
    </w:p>
    <w:p>
      <w:r>
        <w:t>47. Regarding the positions of the new entity by CMD, they are below 50%. Its strongest position concerns surgical acts related to traumas, allergies, and poisonings (CMD 21): [30-40]% (Ramsay GDS: [10-20]%; Capio: [10-20]%).</w:t>
        <w:br/>
        <w:t>28 For example, in cardiology, related are the authorizations for interventional cardiology type 1, interventional cardiology type 2, and cardiac surgery.</w:t>
        <w:br/>
        <w:t>29 The strongest position of the new entity concerns the GAS "surgery" for which its market share is estimated at [20-30]% (Ramsay GDS: [20-30]%; Capio: [0-5]%).</w:t>
      </w:r>
    </w:p>
    <w:p>
      <w:r>
        <w:t>48. Therefore, the operation is not likely to harm competition through horizontal effects in Rhône-Alpes.</w:t>
      </w:r>
    </w:p>
    <w:p>
      <w:r>
        <w:t>At the level of the Rhône department</w:t>
      </w:r>
    </w:p>
    <w:p>
      <w:r>
        <w:t>49. In this department, Ramsay GDS holds the following healthcare establishments: the Iris clinic in Lyon, the Iris clinic in Marcy-L’Etoile, the Iris clinic in Saint-Priest, the Mon Repos clinic in Écully, the private hospital of East Lyon in Saint-Priest, the private hospital Jean Mermoz and its radiotherapy center in Lyon, as well as the Charcot radiotherapy center in Sainte-Foy-lès-Lyon. Capio holds the following five establishments: the Tonkin clinic and the Bayard center in Villeurbanne, the Sauvegarde clinic in Lyon, the Grand Large clinic in Décines-Charpieu, and the Beaujolais polyclinic in Arnas.</w:t>
      </w:r>
    </w:p>
    <w:p>
      <w:r>
        <w:t>50. Regardless of the GAS analyzed, the position of the new entity is less than 30%. The strongest position of the new entity concerns the GAS "surgery," in which its market share has been estimated at [20-30]% (Ramsay GDS: [5-10]%; Capio: [10-20]%).</w:t>
      </w:r>
    </w:p>
    <w:p>
      <w:r>
        <w:t>51. Regarding the positions of the new entity by CMD, they are below 50%. Its strongest position concerns surgical acts related to factors influencing health status and other reasons for accessing health services (CMD 23): [40-50]% (Ramsay GDS: [0-5]%; Capio: [40-50]%).</w:t>
        <w:br/>
        <w:t>52. Furthermore, in this department, the new entity will face competition from numerous healthcare establishments, public or private, such as the civil hospices of Lyon, which group fourteen healthcare establishments in Lyon, the CHU of Grenoble, the Val d’Ouest Vendôme clinic, and the Parc clinic.</w:t>
      </w:r>
    </w:p>
    <w:p>
      <w:r>
        <w:t>53. Therefore, the operation is not likely to harm competition through horizontal effects in the Rhône department.</w:t>
      </w:r>
    </w:p>
    <w:p>
      <w:r>
        <w:t>c) Effects of the operation in Midi-Pyrénées</w:t>
      </w:r>
    </w:p>
    <w:p>
      <w:r>
        <w:t>54. The operation results in an overlap of activity between the parties in Midi-Pyrénées, specifically in the Haute-Garonne department (31). Indeed, Ramsay GDS holds 2 healthcare establishments located in the Haute-Garonne department where Capio also holds 4 establishments.</w:t>
      </w:r>
    </w:p>
    <w:p>
      <w:r>
        <w:t>At the level of the former Midi-Pyrénées region</w:t>
      </w:r>
    </w:p>
    <w:p>
      <w:r>
        <w:t>55. Regardless of the GAS analyzed, the position of the new entity is less than 25%.</w:t>
      </w:r>
    </w:p>
    <w:p>
      <w:r>
        <w:t>56. Regarding the positions of the new entity by CMD, they are below 50%. Its strongest position concerns surgical acts related to endocrine, metabolic, and nutritional conditions (CMD 10): [30-40]% (Ramsay GDS: [5-10]%; Capio: [30-40]%).</w:t>
      </w:r>
    </w:p>
    <w:p>
      <w:r>
        <w:t>57. Therefore, the operation is not likely to harm competition through horizontal effects in Midi-Pyrénées.</w:t>
        <w:br/>
        <w:t>30 In January 2019, three establishments of Capio (the Tonkin clinic, the Bayard center, and the Grand Large clinic) will be grouped within the Médipole Lyon-Villeurbanne with several establishments of the Résamut group (the mutualist clinic of Lyon Eugène André, the Union clinic, SSR Les Ormes, SSR La Fougeraie, SSR Les Ormes Trarieux).</w:t>
        <w:br/>
        <w:t>31 The market shares of the new entity would remain below 50% in the Rhône department, regardless of the segmentation adopted (GAS, CMD AO/ANO), in the conservative assumption that all establishments of the future Médipole Lyon-Villeurbanne were taken into account in the calculation of the market shares of the new entity.</w:t>
      </w:r>
    </w:p>
    <w:p>
      <w:r>
        <w:t>At the level of the Haute-Garonne department</w:t>
      </w:r>
    </w:p>
    <w:p>
      <w:r>
        <w:t>58. In this department, Ramsay GDS holds two healthcare establishments: the Union clinic and the Marquisat clinic, located in Saint-Jean. Capio holds the following four establishments: the Beaupuy clinic, the Cedars clinic in Cornebarrieu, the Saint-Jean Laguedoc clinic, and the Parc polyclinic, located in Toulouse.</w:t>
      </w:r>
    </w:p>
    <w:p>
      <w:r>
        <w:t>59. Regardless of the GAS analyzed, the position of the new entity is less than 50%. Its strongest position concerns the GAS "surgery" in which its market share is estimated at [30-40]% (Ramsay GDS: [10-20]%; Capio: [20-30]%).</w:t>
      </w:r>
    </w:p>
    <w:p>
      <w:r>
        <w:t>60. Regarding the positions of the new entity by CMD, they are below 50%. Its strongest position concerns surgical acts related to endocrine, metabolic, and nutritional conditions (CMD 10): [40-50]% (Ramsay GDS: [5-10]%; Capio: [40-50]%).</w:t>
      </w:r>
    </w:p>
    <w:p>
      <w:r>
        <w:t>61. Furthermore, in this department, the new entity will face competition from numerous healthcare establishments, public or private, such as the CHU of Toulouse consisting of several hospital establishments, the Médipole Garonne clinic, or the Pasteur clinic.</w:t>
      </w:r>
    </w:p>
    <w:p>
      <w:r>
        <w:t>62. Therefore, the operation is not likely to harm competition through horizontal effects in the Haute-Garonne department.</w:t>
      </w:r>
    </w:p>
    <w:p>
      <w:r>
        <w:t>d) Effects of the operation in Provence-Alpes-Côte d’Azur</w:t>
      </w:r>
    </w:p>
    <w:p>
      <w:r>
        <w:t>63. The operation results in an overlap of activity between the parties in Provence-Alpes-Côte d’Azur. Indeed, Ramsay GDS holds 15 healthcare establishments in this region, including 13 in the Bouches-du-Rhône department and 2 in the Var department. Capio holds 2 establishments there, both located in the Vaucluse department. The activities of the parties do not overlap at the departmental level.</w:t>
      </w:r>
    </w:p>
    <w:p>
      <w:r>
        <w:t>64. Regardless of the GAS and CMD analyzed, the position of the new entity is less than 25%.</w:t>
      </w:r>
    </w:p>
    <w:p>
      <w:r>
        <w:t>65. Therefore, the operation is not likely to harm competition through horizontal effects in Provence-Alpes-Côte d’Azur.</w:t>
      </w:r>
    </w:p>
    <w:p>
      <w:r>
        <w:t>2. THE PROVISION OF DIALYSIS CARE</w:t>
      </w:r>
    </w:p>
    <w:p>
      <w:r>
        <w:t>66. In the event that such a market were delineated, the activities of the parties only overlap in the following regions: Île-de-France and Rhône-Alpes, and in the Rhône department.</w:t>
      </w:r>
    </w:p>
    <w:p>
      <w:r>
        <w:t>67. At the regional level, the market share of the new entity will be less than 25%, except in Île-de-France where the position of the new entity is estimated at [30-40]%, with a limited market share increment (Ramsay GDS: [30-40]%; Capio: [0-5]%).</w:t>
      </w:r>
    </w:p>
    <w:p>
      <w:r>
        <w:t>68. In the Rhône department, the market share of the new entity has been estimated at [30-40]% (Ramsay GDS: [5-10]%; Capio: [30-40]%). The new entity will face competition from several healthcare establishments in this department, including the Nephrocare Tassin-Charcot hospital ([30-40]%) and the Civil Hospices of Lyon ([20-30]%).</w:t>
      </w:r>
    </w:p>
    <w:p>
      <w:r>
        <w:t>69. Therefore, the operation is not likely to harm competition through horizontal effects in a potential market for the provision of dialysis care.</w:t>
      </w:r>
    </w:p>
    <w:p>
      <w:r>
        <w:rPr>
          <w:b/>
        </w:rPr>
        <w:t>[Pages 13–15]</w:t>
      </w:r>
    </w:p>
    <w:p>
      <w:r>
        <w:t>3. COSMETIC SURGERY FOR COMFORT</w:t>
        <w:br/>
        <w:t>70. In the absence of comprehensive data from the PMSI, the positions of the parties have been assessed based on the number of practitioners.</w:t>
        <w:br/>
        <w:t>71. At the national level, the market share of the new entity is less than 25%.</w:t>
        <w:br/>
        <w:t>72. In the regions where the activities of the parties overlap (Île-de-France, Rhône-Alpes, Midi-Pyrénées, Provence-Alpes-Côte d’Azur), the market share of the new entity is less than 50%. Its strongest position is in Île-de-France: [30-40]% (Ramsay GDS: [20-30]%; Capio: [0-5]%).</w:t>
        <w:br/>
        <w:t>73. Consequently, the operation is not likely to harm competition, through horizontal effects, in the markets for cosmetic surgery for comfort.</w:t>
      </w:r>
    </w:p>
    <w:p>
      <w:r>
        <w:t>B- CONGLOMERATE EFFECTS</w:t>
        <w:br/>
        <w:t>74. A concentration has conglomerate effects when the new entity extends or strengthens its presence in several markets whose connection may allow it to increase its market power. Generally, such effects are analyzed when a concentration operation extends or strengthens the presence of a new entity in several distinct but related markets. These effects can also be analyzed when the strengthening of the position of a new entity occurs in the same market, but it is a market for sufficiently differentiated products so that, on the one hand, a leveraging effect can be exercised from one of them and, on the other hand, the same customers regularly purchase more than one product within this product range. While conglomerate concentrations can generally generate pro-competitive synergies, some may nonetheless produce restrictive competition effects when they allow for the technical or commercial tying of the sales or purchases of the components of the grouping in a way that locks the market and excludes competitors.</w:t>
        <w:br/>
        <w:t>75. The decisional practice of competition authorities generally considers that a risk of conglomerate effect can be ruled out as long as the share of the entity resulting from the operation in the relevant markets does not exceed 30%.</w:t>
        <w:br/>
        <w:t>76. This type of effect could apply to the healthcare sector if one considers that hospital establishments compete to attract the "best" practitioners (in terms of reputation, skill, specialization, etc.) and that holding the sole care authorization in the area for a given activity and a portfolio of related care activity authorizations can serve as leverage to condition a practitioner's practice in one establishment to the abandonment of their practice in a third hospital establishment. Such a strategy would have the effect of enhancing the reputation and volume of activity of a hospital establishment, to the detriment of other establishments located in the same territory, with the risk of excluding them. This capture of practitioners from hospital establishments is therefore likely, in the long term, to reduce the alternatives offered to patients in a relevant territory.</w:t>
        <w:br/>
        <w:t>77. In this case, the new entity will not, regardless of the geographical area concerned, be the only operator holding a specific authorization to provide a certain type of care. Indeed, in each of the relevant areas, there is at least one other healthcare establishment holding each of the authorizations to provide specific care.</w:t>
        <w:br/>
        <w:t>78. In this case, the operation is therefore not likely to gather, within the same group, several related care activity authorizations, which form a portfolio that third establishments, in certain territories, would not hold.</w:t>
        <w:br/>
        <w:t>79. Consequently, the operation is not likely to harm competition, through conglomerate effects.</w:t>
      </w:r>
    </w:p>
    <w:p>
      <w:r>
        <w:t>C- THE RISK OF CREATING OR STRENGTHENING PURCHASING POWER</w:t>
        <w:br/>
        <w:t>80. A concentration operation can harm competition by strengthening purchasing power that places suppliers in a situation of economic dependence.</w:t>
        <w:br/>
        <w:t>81. The Competition Authority considers that "the strengthening of purchasing power generally tends to benefit consumers, provided that it does not affect the structures of upstream and downstream markets." Thus, it is only to the extent that it would harm competition, for example by diminishing the financial or research and innovation capacities of certain players, that the strengthening of economic dependence can harm competition in a market.</w:t>
        <w:br/>
        <w:t>82. According to the European Commission, a strengthening of purchasing power is not considered harmful to the economy when there is (i) a strong concentration of suppliers who hold significant bargaining power and (ii) effective competition in the retail market forcing the concerned companies to pass on the price reductions obtained to consumers.</w:t>
        <w:br/>
        <w:t>83. In the healthcare supply sector, purchases from suppliers are made either directly by establishments or through purchasing groups.</w:t>
        <w:br/>
        <w:t>84. In this case, Ramsay GDS makes its purchases directly, without them being linked to any of the purchasing groups in the private sector, such as the purchasing group for private and public hospitalization (CAHPP) or the purchasing, consulting, and information group for clinics (CACIC). Capio, on the other hand, is a member of CAHPP.</w:t>
        <w:br/>
        <w:t>85. Lacking data on the total amount of hospital purchases in France, the notifying party provided an estimate of the annual amount of purchases made by public healthcare establishments, which would amount to approximately 18 billion euros (approximately 10.8 billion in medical purchases and 7.2 billion in non-medical purchases). The total annual amount of combined purchases by Ramsay GDS establishments amounts to approximately […] euros. Assuming that the amount of purchases by Capio establishments is equivalent to that of Ramsay GDS establishments, the market share of the new entity in the total hospital purchases in France will represent less than [10-20]%.</w:t>
        <w:br/>
        <w:t>86. Furthermore, many pharmaceutical or equipment suppliers are global groups, and therefore have very significant economic weight in relation to the positions of the hospital groups active in France or their purchasing groups.</w:t>
        <w:br/>
        <w:t>87. According to the notifying party, the position of the new entity will not exceed [20-30]% regardless of the segmentation considered for the markets of hospital supply.</w:t>
        <w:br/>
        <w:t>88. Finally, a supplier of surgical equipment expressed, during the investigation, its competition concerns related to the risk of being excluded as the operation would have the effect of strengthening a duopoly between the two main private hospital groups in France, Elsan and Ramsay GDS. According to them, Capio's supplies from small alternative suppliers to the two main surgical equipment suppliers (Johnson &amp; Johnson and Medtronic) will be reduced, and the operation could compromise their viability. However, the markets for the supply of hospital establishments are not limited to private groups alone, so there are, in reality, many credible alternatives for suppliers as recalled in paragraph 86 above. In particular, the estimated market share of the new entity in the potential market for the supply of surgical equipment is [10-20]% at the national level and less than [5-10]% at the European level. For the record, the operation concerns, in France, the acquisition of a limited number of establishments (23 clinics).</w:t>
        <w:br/>
        <w:t>89. Consequently, the operation is not likely to create or strengthen purchasing power, or to place suppliers in a state of economic dependence, in the relevant markets.</w:t>
      </w:r>
    </w:p>
    <w:p>
      <w:r>
        <w:t>DECIDES</w:t>
        <w:br/>
        <w:t>Single Article: The operation notified under number 18-157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