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https://www.autoritedelaconcurrence.fr/fr/decision-de-controle-des-concentrations/relative-la-prise-de-controle-exclusif-du-groupe-cardinal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22-DCC-108 of June 20, 2022  </w:t>
        <w:br/>
        <w:t xml:space="preserve">regarding the exclusive control of the Cardinal group by the  </w:t>
        <w:br/>
        <w:t xml:space="preserve">company Eaglestone France  </w:t>
        <w:br/>
        <w:t xml:space="preserve">The Competition Authority,  </w:t>
        <w:br/>
        <w:t xml:space="preserve">Having regard to the complete notification file sent to the mergers department on May 20, 2022,  </w:t>
        <w:br/>
        <w:t xml:space="preserve">concerning the exclusive control of the Cardinal group by the company Eaglestone France,  </w:t>
        <w:br/>
        <w:t xml:space="preserve">formalized by a synallagmatic promise of sale dated May 11,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submitted during the investigation;  </w:t>
        <w:br/>
        <w:t xml:space="preserve">Adopts the following decision:  </w:t>
        <w:br/>
        <w:t xml:space="preserve">1. The notified operation consists of the exclusive control of the Cardinal group, active in the  </w:t>
        <w:br/>
        <w:t xml:space="preserve">sectors of development, management, and real estate investment, by the company Eaglestone  </w:t>
        <w:br/>
        <w:t xml:space="preserve">France. It constitutes a concentration operation within the meaning of Article L. 430-1 of the Commercial Code. Given the turnover achieved by the concerned companies,  </w:t>
        <w:br/>
        <w:t xml:space="preserve">the operation does not fall under the jurisdiction of the European Union. On the other hand, the control thresholds mentioned in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22-115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