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https://www.autoritedelaconcurrence.fr/fr/decision-de-controle-des-concentrations/relative-la-prise-de-controle-exclusif-du-groupe-ceme-par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22-DCC-36 of March 22, 2022  </w:t>
        <w:br/>
        <w:t xml:space="preserve">regarding the exclusive control acquisition of the CEME group by the company  </w:t>
        <w:br/>
        <w:t xml:space="preserve">Apax Partners  </w:t>
        <w:br/>
        <w:t xml:space="preserve">The Competition Authority,  </w:t>
        <w:br/>
        <w:t xml:space="preserve">Having regard to the complete notification file submitted to the mergers department on March 4, 2022,  </w:t>
        <w:br/>
        <w:t xml:space="preserve">concerning the exclusive control acquisition of the companies comprising the CEME group by the company  </w:t>
        <w:br/>
        <w:t xml:space="preserve">Apax Partners, formalized by a unilateral purchase promise dated February 12,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Apax Partners of the  </w:t>
        <w:br/>
        <w:t xml:space="preserve">CEME group, active in the electrical and climate engineering services sector. It constitutes  </w:t>
        <w:br/>
        <w:t xml:space="preserve">a concentration operation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22-042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