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https://www.autoritedelaconcurrence.fr/fr/decision-de-controle-des-concentrations/relative-la-prise-de-controle-exclusif-du-groupe-cerelia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15-DCC-74 of June 17, 2015  </w:t>
        <w:br/>
        <w:t xml:space="preserve">regarding the exclusive control acquisition of the Cérélia group by  </w:t>
        <w:br/>
        <w:t xml:space="preserve">IK Investment Partners  </w:t>
        <w:br/>
        <w:t xml:space="preserve">The Competition Authority,  </w:t>
        <w:br/>
        <w:t xml:space="preserve">Having regard to the complete notification file sent to the mergers department on May 20, 2015,  </w:t>
        <w:br/>
        <w:t xml:space="preserve">concerning the exclusive control acquisition of the Cérélia group by IK Investment Partners and  </w:t>
        <w:br/>
        <w:t xml:space="preserve">materialized by an offer letter covering all shares of PT Investissements signed on May 12, 2015;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parties during the investigation;  </w:t>
        <w:br/>
        <w:t xml:space="preserve">Adopts the following decision:  </w:t>
        <w:br/>
        <w:t xml:space="preserve">1. The notified operation consists of the exclusive control acquisition of the company PT Investissements,  </w:t>
        <w:br/>
        <w:t xml:space="preserve">holding of the Cérélia group, active in the manufacturing and marketing of household pasta,  </w:t>
        <w:br/>
        <w:t xml:space="preserve">by one of the funds of IK Investment Partners. The notified operation constitutes a  </w:t>
        <w:br/>
        <w:t xml:space="preserve">concentration operation within the meaning of Article L. 430-1 of the Commercial Code. Given the revenues  </w:t>
        <w:br/>
        <w:t xml:space="preserve">generated by the companies concerned, the operation does not fall under the jurisdiction  </w:t>
        <w:br/>
        <w:t xml:space="preserve">of the European Union. On the other hand, the control thresholds mentioned in point I of Article  </w:t>
        <w:br/>
        <w:t xml:space="preserve">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15-078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