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https://www.autoritedelaconcurrence.fr/fr/decision-de-controle-des-concentrations/relative-la-prise-de-controle-exclusif-du-groupe-cerp-rouen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23-DCC-150 of July 26, 2023</w:t>
        <w:br/>
        <w:t>regarding the exclusive control of the CERP Rouen group by the</w:t>
        <w:br/>
        <w:t>company Astera</w:t>
        <w:br/>
        <w:t>The Competition Authority,</w:t>
        <w:br/>
        <w:t>Having regard to the complete notification file sent to the mergers department on July 5, 2023,</w:t>
        <w:br/>
        <w:t>concerning the exclusive control of the CERP Rouen group by the company Astera, formalized</w:t>
        <w:br/>
        <w:t>by a draft minutes of dissolution of the company SanAstera;</w:t>
        <w:br/>
        <w:t>Having regard to Book IV of the Commercial Code relating to freedom of prices and competition, and</w:t>
        <w:br/>
        <w:t>notably its Articles L. 430-1 to L. 430-7;</w:t>
        <w:br/>
        <w:t>Adopts the following decision:</w:t>
        <w:br/>
        <w:t>1. The notified operation consists of the exclusive control of the CERP Rouen group, engaged</w:t>
        <w:br/>
        <w:t>in the activity of pharmaceutical product wholesale distribution, by the cooperative of</w:t>
        <w:br/>
        <w:t>pharmacists Astera, which held joint control prior to the operation. It constitutes a</w:t>
        <w:br/>
        <w:t>concentration within the meaning of Article L. 430-1 of the Commercial Code. Given the turnover</w:t>
        <w:br/>
        <w:t>achieved by the companies concerned, the operation does not fall under the jurisdiction of</w:t>
        <w:br/>
        <w:t>the European Union. However, the control thresholds mentioned in I of Article L. 430-2</w:t>
        <w:br/>
        <w:t>of the Commercial Code are exceeded. The present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23-164 is authorized.</w:t>
        <w:br/>
        <w:t>The Vice-President,</w:t>
        <w:br/>
        <w:t>Henri Piffaut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