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https://www.autoritedelaconcurrence.fr/fr/decision-de-controle-des-concentrations/relative-la-prise-de-controle-exclusif-du-groupe-charles-0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21-DCC-88 of June 10, 2021  </w:t>
        <w:br/>
        <w:t xml:space="preserve">regarding the exclusive control acquisition of the Charles &amp; Alice group by  </w:t>
        <w:br/>
        <w:t xml:space="preserve">the company Crédit Mutuel Equity  </w:t>
        <w:br/>
        <w:t xml:space="preserve">The Competition Authority,  </w:t>
        <w:br/>
        <w:t xml:space="preserve">Having regard to the complete notification file submitted to the mergers department on May 25, 2021  </w:t>
        <w:br/>
        <w:t xml:space="preserve">concerning the exclusive control acquisition of the Charles &amp; Alice group by the company Crédit Mutuel  </w:t>
        <w:br/>
        <w:t xml:space="preserve">Equity, materialized by a share transfer agreement dated April 29,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Crédit Mutuel Equity  </w:t>
        <w:br/>
        <w:t xml:space="preserve">of the company CAI Développement, the parent company of the Charles &amp; Alice group, active in the  </w:t>
        <w:br/>
        <w:t xml:space="preserve">sector of manufacturing and distributing fruit compotes and desserts, whose products  </w:t>
        <w:br/>
        <w:t xml:space="preserve">are marketed in GMS (large and medium-sized stores) and in RHF (catering outside the home).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control thresholds mentioned in 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21-084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