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https://www.autoritedelaconcurrence.fr/fr/decision-de-controle-des-concentrations/relative-la-prise-de-controle-exclusif-du-groupe-charles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13-DCC-128 of September 3, 2013  </w:t>
        <w:br/>
        <w:t xml:space="preserve">regarding the exclusive control acquisition of the Charles &amp; Alice group by  </w:t>
        <w:br/>
        <w:t xml:space="preserve">Equistone Partners Europe  </w:t>
        <w:br/>
        <w:t xml:space="preserve">The Competition Authority,  </w:t>
        <w:br/>
        <w:t xml:space="preserve">Having regard to the complete notification file submitted to the mergers department on August 9, 2013,  </w:t>
        <w:br/>
        <w:t xml:space="preserve">concerning the exclusive control acquisition of the Charles &amp; Alice group by Equistone Partners  </w:t>
        <w:br/>
        <w:t xml:space="preserve">Europe SAS, formalized by a purchase offer dated July 2, 2013;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additional elements provided by the parties during the investigation;  </w:t>
        <w:br/>
        <w:t xml:space="preserve">Adopts the following decision:  </w:t>
        <w:br/>
        <w:t xml:space="preserve">1. The notified operation consists of the exclusive control acquisition of the companies of the Charles &amp;  </w:t>
        <w:br/>
        <w:t xml:space="preserve">Alice group, active in the sectors of processing fruits and vegetables for the marketing of fruit compotes,  </w:t>
        <w:br/>
        <w:t xml:space="preserve">other fruit desserts, and cooked vegetables, by Equistone Partners Europe. It constitutes a concentration  </w:t>
        <w:br/>
        <w:t xml:space="preserve">operation within the meaning of Article L. 430-1 of the Commercial Code. Given the turnover achieved by  </w:t>
        <w:br/>
        <w:t xml:space="preserve">the companies concerned, the operation does not have a community dimension. On the other hand, the  </w:t>
        <w:br/>
        <w:t xml:space="preserve">control thresholds mentioned in point I of Article L. 430-2 of the Commercial Code are exceeded. The  </w:t>
        <w:br/>
        <w:t xml:space="preserve">present operation is therefore subject to the provisions of Articles L. 430-3 and following of the  </w:t>
        <w:br/>
        <w:t xml:space="preserve">Commercial Code relating to economic concentration.  </w:t>
        <w:br/>
        <w:t>2. In light of the elements of the file, the operation is not likely to harm competition in the relevant markets.</w:t>
      </w:r>
    </w:p>
    <w:p>
      <w:r>
        <w:t xml:space="preserve">DECIDES  </w:t>
        <w:br/>
        <w:t xml:space="preserve">Sole Article: The operation notified under number 13-143 is authorized.  </w:t>
        <w:br/>
        <w:t xml:space="preserve">The Vice-President,  </w:t>
        <w:br/>
        <w:t xml:space="preserve">Emmanuel Combe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