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https://www.autoritedelaconcurrence.fr/fr/decision-de-controle-des-concentrations/relative-la-prise-de-controle-exclusif-du-groupe-chryso-par</w:t>
      </w:r>
    </w:p>
    <w:p>
      <w:r>
        <w:t>Pages translated : 2</w:t>
      </w:r>
    </w:p>
    <w:p/>
    <w:p>
      <w:r>
        <w:rPr>
          <w:b/>
        </w:rPr>
        <w:t>[Pages 1–2]</w:t>
      </w:r>
    </w:p>
    <w:p>
      <w:r>
        <w:t xml:space="preserve">FRENCH REPUBLIC  </w:t>
        <w:br/>
        <w:t xml:space="preserve">Decision No. 21-DCC-153 of September 6, 2021  </w:t>
        <w:br/>
        <w:t xml:space="preserve">regarding the exclusive control acquisition of the Chryso group by the company  </w:t>
        <w:br/>
        <w:t xml:space="preserve">Compagnie de Saint-Gobain  </w:t>
        <w:br/>
        <w:t xml:space="preserve">The Competition Authority,  </w:t>
        <w:br/>
        <w:t xml:space="preserve">Having regard to the complete notification file sent to the mergers department on August 20, 2021,  </w:t>
        <w:br/>
        <w:t xml:space="preserve">concerning the acquisition of control of the Chryso group by the company Compagnie de Saint-Gobain,  </w:t>
        <w:br/>
        <w:t xml:space="preserve">formalized by a share purchase agreement dated June 29, 2021;  </w:t>
        <w:br/>
        <w:t xml:space="preserve">Having regard to Book IV of the Commercial Code relating to freedom of prices and competition, and  </w:t>
        <w:br/>
        <w:t xml:space="preserve">notably its Articles L. 430-1 to L. 430-7;  </w:t>
        <w:br/>
        <w:t xml:space="preserve">Adopts the following decision:  </w:t>
        <w:br/>
        <w:t xml:space="preserve">1. The notified operation consists of the exclusive control acquisition by the company Compagnie de Saint-  </w:t>
        <w:br/>
        <w:t xml:space="preserve">Gobain of the Chryso group, which produces admixtures, used notably in the markets of the  </w:t>
        <w:br/>
        <w:t xml:space="preserve">production and marketing of ready-mixed concrete, precast concrete, and gypsum-based products, in which the acquirer is active.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21-133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