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https://www.autoritedelaconcurrence.fr/fr/decision-de-controle-des-concentrations/relative-la-prise-de-controle-exclusif-du-groupe-cipres-par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17-DCC-86 of June 20, 2017  </w:t>
        <w:br/>
        <w:t xml:space="preserve">regarding the exclusive control of Groupe Ciprés by the company  </w:t>
        <w:br/>
        <w:t xml:space="preserve">Apax Partners MidMarket SAS  </w:t>
        <w:br/>
        <w:t xml:space="preserve">The Competition Authority,  </w:t>
        <w:br/>
        <w:t xml:space="preserve">Having regard to the complete notification file submitted to the mergers department on May 29, 2017,  </w:t>
        <w:br/>
        <w:t xml:space="preserve">concerning the exclusive control of Groupe Ciprés by the company Apax Partners MidMarket  </w:t>
        <w:br/>
        <w:t xml:space="preserve">SAS, formalized by a purchase agreement dated May 14, 2017;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exclusive control by the company Apax Partners  </w:t>
        <w:br/>
        <w:t xml:space="preserve">MidMarket of Groupe Ciprés, which is active in the sector of personal insurance brokerage. This operation constitutes a concentration operation within the meaning of Article  </w:t>
        <w:br/>
        <w:t xml:space="preserve">L. 430-1 of the Commercial Code. Given the turnover achieved by the concerned companies, the operation does not fall under the jurisdiction of the European Union. On the other hand,  </w:t>
        <w:br/>
        <w:t xml:space="preserve">the control thresholds relating to I of Article L. 430-2 of the Commercial Code are exceeded. The  </w:t>
        <w:br/>
        <w:t xml:space="preserve">present operation is therefore subject to the provisions of Articles L. 430-3 and following of the Commercial Code relating to economic concentration.  </w:t>
        <w:br/>
        <w:t xml:space="preserve">2. In view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17-104 is authorized.  </w:t>
        <w:br/>
        <w:t xml:space="preserve">The President,  </w:t>
        <w:br/>
        <w:t xml:space="preserve">Isabelle de Silva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