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https://www.autoritedelaconcurrence.fr/fr/decision-de-controle-des-concentrations/relative-la-prise-de-controle-exclusif-du-groupe-cir-par-la</w:t>
      </w:r>
    </w:p>
    <w:p>
      <w:r>
        <w:t>Pages translated : 2</w:t>
      </w:r>
    </w:p>
    <w:p/>
    <w:p>
      <w:r>
        <w:rPr>
          <w:b/>
        </w:rPr>
        <w:t>[Pages 1–2]</w:t>
      </w:r>
    </w:p>
    <w:p>
      <w:r>
        <w:t xml:space="preserve">FRENCH REPUBLIC  </w:t>
        <w:br/>
        <w:t xml:space="preserve">Decision No. 17-DCC-157 of October 2, 2017  </w:t>
        <w:br/>
        <w:t xml:space="preserve">regarding the acquisition of exclusive control of the CIR group by the company  </w:t>
        <w:br/>
        <w:t xml:space="preserve">Bridgepoint  </w:t>
        <w:br/>
        <w:t xml:space="preserve">The Competition Authority,  </w:t>
        <w:br/>
        <w:t xml:space="preserve">Having regard to the complete notification file sent to the mergers department on September 11,  </w:t>
        <w:br/>
        <w:t xml:space="preserve">2017, concerning the acquisition of exclusive control of the CIR group by the company Bridgepoint, formalized  </w:t>
        <w:br/>
        <w:t xml:space="preserve">by a firm offer letter countersigned on May 19, 2017;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acquisition by the company Bridgepoint of exclusive control of the  </w:t>
        <w:br/>
        <w:t xml:space="preserve">CIR group. It constitutes a concentration within the meaning of Article L. 430-1 of the Commercial Code.  </w:t>
        <w:br/>
        <w:t xml:space="preserve">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 xml:space="preserve">2. The markets concerned by the operation are the markets for real estate promotion and asset management for third parties. These markets are consistently defined by the decision-making practice of the Competition Authority.  </w:t>
        <w:br/>
        <w:t xml:space="preserve">3. Regardless of the segmentations retained, the estimated market shares of the parties are below 5%.  </w:t>
        <w:br/>
        <w:t>4. Given the elements of the file and in accordance with point 384 of the guidelines of the Competition Authority relating to the control of concentrations, the operation is not likely to harm competition.</w:t>
      </w:r>
    </w:p>
    <w:p>
      <w:r>
        <w:t xml:space="preserve">DECIDES  </w:t>
        <w:br/>
        <w:t xml:space="preserve">Sole Article: The operation notified under number 17-174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