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https://www.autoritedelaconcurrence.fr/fr/decision-de-controle-des-concentrations/relative-la-prise-de-controle-exclusif-du-groupe-claire-par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23-DCC-206 of October 9, 2023</w:t>
        <w:br/>
        <w:t>regarding the exclusive control acquisition of the Claire group by the company</w:t>
        <w:br/>
        <w:t>Crédit Mutuel Equity</w:t>
        <w:br/>
        <w:t>The Competition Authority,</w:t>
        <w:br/>
        <w:t>Having regard to the complete notification file submitted to the mergers department on</w:t>
        <w:br/>
        <w:t>September 21, 2023, concerning the exclusive control acquisition of the Claire group by the company Crédit</w:t>
        <w:br/>
        <w:t>Mutuel Equity, formalized by a purchase promise signed on August 5,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company Crédit Mutuel Equity</w:t>
        <w:br/>
        <w:t>of the Claire group, primarily active in the field of water network connections.</w:t>
        <w:br/>
        <w:t>The notified operation constitutes a concentration operation within the meaning of Article L. 430-1 of</w:t>
        <w:br/>
        <w:t>the Commercial Code. Given the turnover achieved by the concerned companies,</w:t>
        <w:br/>
        <w:t>the operation does not fall under the jurisdiction of the European Union. On the other hand, the thresholds for</w:t>
        <w:br/>
        <w:t>control mentioned in I of Article L. 430-2 of the Commercial Code are exceeded. This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23-233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