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https://www.autoritedelaconcurrence.fr/fr/decision-de-controle-des-concentrations/relative-la-prise-de-controle-exclusif-du-groupe-climater</w:t>
      </w:r>
    </w:p>
    <w:p>
      <w:r>
        <w:t>Pages translated : 5</w:t>
      </w:r>
    </w:p>
    <w:p/>
    <w:p>
      <w:r>
        <w:rPr>
          <w:b/>
        </w:rPr>
        <w:t>[Pages 1–3]</w:t>
      </w:r>
    </w:p>
    <w:p>
      <w:r>
        <w:t xml:space="preserve">FRENCH REPUBLIC  </w:t>
        <w:br/>
        <w:t xml:space="preserve">Decision No. 11-DCC-145 of October 3, 2011  </w:t>
        <w:br/>
        <w:t xml:space="preserve">regarding the exclusive control of the Climater group by the  </w:t>
        <w:br/>
        <w:t>company Weinberg Capital Partners</w:t>
      </w:r>
    </w:p>
    <w:p>
      <w:r>
        <w:t xml:space="preserve">The Competition Authority,  </w:t>
        <w:br/>
        <w:t xml:space="preserve">Having regard to the notification file submitted in full to the concentrations service on  </w:t>
        <w:br/>
        <w:t xml:space="preserve">September 2, 2011, regarding the exclusive control of the Climater group by the company  </w:t>
        <w:br/>
        <w:t xml:space="preserve">Weinberg Capital Partners, formalized by an investment protocol dated July 27, 2011;  </w:t>
        <w:br/>
        <w:t xml:space="preserve">Having regard to Book IV of the Commercial Code relating to the freedom of prices and  </w:t>
        <w:br/>
        <w:t xml:space="preserve">competition, and in particular its Articles L. 430-1 to L. 430-7;  </w:t>
        <w:br/>
        <w:t xml:space="preserve">Having regard to the supplementary elements transmitted by the parties during the  </w:t>
        <w:br/>
        <w:t xml:space="preserve">investigation;  </w:t>
        <w:br/>
        <w:t>Adopts the following decision:</w:t>
      </w:r>
    </w:p>
    <w:p>
      <w:r>
        <w:t xml:space="preserve">I. The companies concerned and the operation  </w:t>
        <w:br/>
        <w:t xml:space="preserve">1. Weinberg Capital Partners is a simplified joint-stock company whose activity is the  </w:t>
        <w:br/>
        <w:t xml:space="preserve">management of private equity. It is owned and managed by Serge Weinberg and three  </w:t>
        <w:br/>
        <w:t xml:space="preserve">individual partners. It manages the WCP#1 venture capital fund and holds exclusive control  </w:t>
        <w:br/>
        <w:t xml:space="preserve">over companies active in the distribution of pharmaceutical products, parts and services for  </w:t>
        <w:br/>
        <w:t xml:space="preserve">automobiles and heavy goods vehicles, small equipment and consumables for the catering  </w:t>
        <w:br/>
        <w:t xml:space="preserve">sector, as well as in the design, manufacture, and marketing of cooking equipment intended  </w:t>
        <w:br/>
        <w:t xml:space="preserve">for professionals in the bakery and food trades and the rental of industrial vehicles.  </w:t>
        <w:br/>
        <w:t xml:space="preserve">2. Weinberg Capital Partners also holds exclusive control of the company Balitrand, active in  </w:t>
        <w:br/>
        <w:t xml:space="preserve">the distribution of construction materials, particularly plumbing, sanitary and heating,  </w:t>
        <w:br/>
        <w:t xml:space="preserve">electricity and tools, hardware in the Provence-Alpes-Côte d'Azur region, intended for a  </w:t>
        <w:br/>
        <w:t xml:space="preserve">professional clientele composed of craftsmen, SMEs, local authorities, large constructors,  </w:t>
        <w:br/>
        <w:t xml:space="preserve">specifiers, and hoteliers.  </w:t>
        <w:br/>
        <w:t xml:space="preserve">3. The Climater group is currently controlled by the company LEDA SAS. The Climater group  </w:t>
        <w:br/>
        <w:t xml:space="preserve">is active in the field of climate engineering works mainly in the Midi-Pyrénées, Rhône-Alpes,  </w:t>
        <w:br/>
        <w:t xml:space="preserve">and Provence-Alpes-Côte d'Azur regions and intended for professionals in the housing, health,  </w:t>
        <w:br/>
        <w:t xml:space="preserve">industry, large distribution, tertiary, local authorities, and administration sectors.  </w:t>
        <w:br/>
        <w:t xml:space="preserve">4. Under the terms of the investment protocol dated July 27, 2011, it is provided that the  </w:t>
        <w:br/>
        <w:t xml:space="preserve">company Financière Climater, established on July 20, 2011, and 100% owned by WCP#1,  </w:t>
        <w:br/>
        <w:t xml:space="preserve">acquires all of the capital and voting rights of the company LEDA SAS.  </w:t>
        <w:br/>
        <w:t xml:space="preserve">5. Insofar as it results in the exclusive control of the Climater group by the company  </w:t>
        <w:br/>
        <w:t xml:space="preserve">Weinberg Capital Partners, the notified operation constitutes a concentration within the  </w:t>
        <w:br/>
        <w:t xml:space="preserve">meaning of Article L. 430-1 of the Commercial Code. The companies concerned have jointly  </w:t>
        <w:br/>
        <w:t xml:space="preserve">achieved a consolidated turnover excluding taxes worldwide of more than 150 million euros in  </w:t>
        <w:br/>
        <w:t xml:space="preserve">the last closed financial year (Climater: […] million euros for the 2010 financial year;  </w:t>
        <w:br/>
        <w:t xml:space="preserve">Weinberg Capital Partners: […] million euros for the same financial year). Each of these  </w:t>
        <w:br/>
        <w:t xml:space="preserve">companies has achieved, in France, a turnover exceeding 50 million euros (Climater: […]  </w:t>
        <w:br/>
        <w:t xml:space="preserve">million euros for the 2010 financial year; Weinberg Capital Partners: […] million euros for  </w:t>
        <w:br/>
        <w:t xml:space="preserve">the same financial year). Given these turnover figures, the operation does not have a  </w:t>
        <w:br/>
        <w:t xml:space="preserve">community dimension. On the other hand, the control thresholds mentioned in I of Article L.  </w:t>
        <w:br/>
        <w:t xml:space="preserve">430-2 of the Commercial Code are exceeded. This operation is therefore subject to the  </w:t>
        <w:br/>
        <w:t xml:space="preserve">provisions of Articles L. 430-3 and following of the Commercial Code relating to economic  </w:t>
        <w:br/>
        <w:t>concentration.</w:t>
      </w:r>
    </w:p>
    <w:p>
      <w:r>
        <w:t xml:space="preserve">II. Delimitation of relevant markets  </w:t>
        <w:br/>
        <w:t xml:space="preserve">A. DELIMITATION OF SERVICE MARKETS  </w:t>
        <w:br/>
        <w:t xml:space="preserve">6. The activities of the parties to the operation do not overlap. However, the Climater group is  </w:t>
        <w:br/>
        <w:t xml:space="preserve">present in the field of climate engineering works, located downstream of the market for the  </w:t>
        <w:br/>
        <w:t xml:space="preserve">trade of construction materials, in which Weinberg Capital Partners is active.  </w:t>
        <w:br/>
        <w:t xml:space="preserve">1. THE MARKETS FOR CLIMATE ENGINEERING WORKS  </w:t>
        <w:br/>
        <w:t xml:space="preserve">7. Competition authorities, both French and community, have already had the opportunity to  </w:t>
        <w:br/>
        <w:t xml:space="preserve">rule on concentration operations in the field of climate engineering works, which they define as  </w:t>
        <w:br/>
        <w:t xml:space="preserve">“those exceeding the routine maintenance and repair of thermal equipment and requiring the  </w:t>
        <w:br/>
        <w:t xml:space="preserve">conduct of a detailed thermal study.”  </w:t>
        <w:br/>
        <w:t xml:space="preserve">8. Competition authorities also consider that the market for climate engineering works can be  </w:t>
        <w:br/>
        <w:t xml:space="preserve">segmented according to the type of work and clientele. Installation services have thus been  </w:t>
        <w:br/>
        <w:t xml:space="preserve">differentiated from maintenance services. Regarding clientele, it has been considered to  </w:t>
        <w:br/>
        <w:t xml:space="preserve">distinguish between residential and non-residential clientele, and within the latter, to segment  </w:t>
        <w:br/>
        <w:t xml:space="preserve">the relevant markets between the industrial, tertiary, and infrastructure sectors.  </w:t>
        <w:br/>
        <w:t xml:space="preserve">9. The exact delineation of the climate engineering works markets can, however, be left open  </w:t>
        <w:br/>
        <w:t xml:space="preserve">insofar as the conclusions of the competitive analysis remain unchanged regardless of the  </w:t>
        <w:br/>
        <w:t xml:space="preserve">hypothesis adopted.  </w:t>
        <w:br/>
        <w:t xml:space="preserve">2. THE MARKETS FOR CONSTRUCTION MATERIAL TRADING  </w:t>
        <w:br/>
        <w:t xml:space="preserve">10. Decision-making practice distinguishes the trade of construction materials from the retail  </w:t>
        <w:br/>
        <w:t xml:space="preserve">distribution of DIY materials in large DIY stores, as the offer of traders primarily targets  </w:t>
        <w:br/>
        <w:t xml:space="preserve">construction professionals or “heavy DIY” individuals whose expectations are close to those of  </w:t>
        <w:br/>
        <w:t xml:space="preserve">professionals.  </w:t>
        <w:br/>
        <w:t xml:space="preserve">11. French competition authorities have also considered a segmentation of the construction  </w:t>
        <w:br/>
        <w:t xml:space="preserve">material trading market based on the degree of specialization of traders: “generalist” traders,  </w:t>
        <w:br/>
        <w:t xml:space="preserve">who offer a wide range of products, and “specialist” or “multi-specialist” traders, who offer  </w:t>
        <w:br/>
        <w:t xml:space="preserve">deeper product ranges and more advanced expertise on specific product lines. Decision-making  </w:t>
        <w:br/>
        <w:t xml:space="preserve">practice has also been led to distinguish a market for trading in “plastic” products aimed at  </w:t>
        <w:br/>
        <w:t xml:space="preserve">professionals, that of insulation products supporting waterproofing, and that of specialized  </w:t>
        <w:br/>
        <w:t xml:space="preserve">traders in sanitary, heating, plumbing, and miscellaneous supplies.  </w:t>
        <w:br/>
        <w:t xml:space="preserve">12. In this case, the Balitrand group distributes many different types of materials (electricity,  </w:t>
        <w:br/>
        <w:t xml:space="preserve">thermal, tools, sanitary, fittings, hardware, kitchen, steel, decoration, tiling, carpentry,  </w:t>
        <w:br/>
        <w:t xml:space="preserve">paints, services) and could, according to the notifying party, either be classified in the  </w:t>
        <w:br/>
        <w:t xml:space="preserve">category of “generalist” traders or be assimilated to an actor operating in several different  </w:t>
        <w:br/>
        <w:t xml:space="preserve">trading markets. However, given on the one hand, the decision-making practice of the  </w:t>
        <w:br/>
        <w:t xml:space="preserve">Authority and on the other hand, the fact that the Climater group is active in the field of  </w:t>
        <w:br/>
        <w:t xml:space="preserve">climate engineering works, the effects of this operation will be examined prima facie on a  </w:t>
        <w:br/>
        <w:t xml:space="preserve">potential market of specialized traders in sanitary, heating, plumbing, and miscellaneous  </w:t>
        <w:br/>
        <w:t xml:space="preserve">supplies.  </w:t>
        <w:br/>
        <w:t xml:space="preserve">13. In the absence of competition issues, the exact delineation of this market can, however, be  </w:t>
        <w:br/>
        <w:t xml:space="preserve">left open.  </w:t>
        <w:br/>
        <w:t xml:space="preserve">B. DELIMITATION OF GEOGRAPHICAL MARKETS  </w:t>
        <w:br/>
        <w:t xml:space="preserve">14. Decision-making practice regarding the market for climate engineering works has generally  </w:t>
        <w:br/>
        <w:t>examined the effects of controlled operations on markets of infranational dimension.</w:t>
      </w:r>
    </w:p>
    <w:p>
      <w:r>
        <w:rPr>
          <w:b/>
        </w:rPr>
        <w:t>[Pages 4–5]</w:t>
      </w:r>
    </w:p>
    <w:p>
      <w:r>
        <w:t xml:space="preserve">In several decisions, the minister conducted his analysis at the regional level, as a large number of companies present in these markets are of regional size. In this case, the region concerned is Provence-Alpes-Côte d'Azur.  </w:t>
        <w:br/>
        <w:t xml:space="preserve">15. Regarding the upstream market for the supply of construction materials, it was considered that competition occurred at at least a national level. The markets for the trade of construction materials, on the other hand, were subject to analysis at the local level. Thus, the minister has been led on several occasions to examine the effects of an operation at the departmental level, taking into account, in particular, the departmental location of the target. In this case, the effects of the operation will therefore be examined in the market of specialized traders in sanitary, heating, plumbing, and various supplies in the departments of Var, Alpes-Maritimes, and Bouches-du-Rhône.  </w:t>
        <w:br/>
        <w:t xml:space="preserve">16. There is no need to call into question these delineations for the purposes of the analysis of the present operation, and the market delineations can be left open, as the conclusions of the competitive analysis remain unchanged.  </w:t>
        <w:br/>
        <w:t xml:space="preserve">III. Competitive Analysis  </w:t>
        <w:br/>
        <w:t xml:space="preserve">17. The operation does not lead to overlaps in activity in the markets concerned by the present operation. On the other hand, the company Climater operates in the market for climate engineering works, which is downstream of the market for specialized trading in sanitary, heating, plumbing, and various supplies, in which Balitrand is active. It is therefore necessary to examine the vertical effects of the operation.  </w:t>
        <w:br/>
        <w:t xml:space="preserve">18. The Competition Authority considers that it is unlikely that a company with a market share of less than 30% in a given market could lock in a downstream or upstream market.  </w:t>
        <w:br/>
        <w:t xml:space="preserve">19. In this case, the notifying party estimates that Balitrand's market share in the market for specialized traders in sanitary, heating, plumbing, and various supplies in the departments of Var, Alpes-Maritimes, and Bouches-du-Rhône does not exceed [20-30]%. Furthermore, at the national level, the Climater group has market shares of less than [0-5]% in each of the relevant climate engineering works markets. At the regional level, the market shares of the Climater group are higher in the Provence-Alpes-Côte d'Azur region but do not exceed [5-10]%.  </w:t>
        <w:br/>
        <w:t xml:space="preserve">20. Given the above, the operation is not likely to harm competition through potential vertical effects on the markets for climate engineering works or on that of specialized traders in sanitary, heating, plumbing, and various supplies in the Provence-Alpes-Côte d'Azur region.  </w:t>
        <w:br/>
        <w:t xml:space="preserve">6 Guidelines of the Competition Authority regarding the control of concentrations, §400.  </w:t>
        <w:br/>
        <w:t xml:space="preserve">DECIDES  </w:t>
        <w:br/>
        <w:t xml:space="preserve">Sole Article: The operation notified under number 11-0141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