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https://www.autoritedelaconcurrence.fr/fr/decision-de-controle-des-concentrations/relative-la-prise-de-controle-exclusif-du-groupe-cliniques</w:t>
      </w:r>
    </w:p>
    <w:p>
      <w:r>
        <w:t>Pages translated : 3</w:t>
      </w:r>
    </w:p>
    <w:p/>
    <w:p>
      <w:r>
        <w:rPr>
          <w:b/>
        </w:rPr>
        <w:t>[Pages 1–3]</w:t>
      </w:r>
    </w:p>
    <w:p>
      <w:r>
        <w:t xml:space="preserve">FRENCH REPUBLIC  </w:t>
        <w:br/>
        <w:t xml:space="preserve">Decision No. 09-DCC-68 of November 25, 2009  </w:t>
        <w:br/>
        <w:t xml:space="preserve">regarding the exclusive control of the group Cliniques Privées Associées by Crédit Agricole Private Equity  </w:t>
        <w:br/>
        <w:t xml:space="preserve">The Competition Authority,  </w:t>
        <w:br/>
        <w:t xml:space="preserve">Having regard to the notification file submitted in full to the merger control service on November 4, 2009, regarding the exclusive control of the group Cliniques Privées Associées by Crédit Agricole Private Equity, formalized by a firm offer from Crédit Agricole Private Equity and ING Parcom Private Equity dated October 20, 2009, and by a resolution of the Extraordinary General Meeting of Cliniques Privées Associées dated October 22, 2009;  </w:t>
        <w:br/>
        <w:t xml:space="preserve">Having regard to Book IV of the Commercial Code relating to price freedom and competition, and in particular its Articles L. 430-1 to L. 430-7;  </w:t>
        <w:br/>
        <w:t xml:space="preserve">Having regard to the supplementary elements submitted by the parties during the investigation;  </w:t>
        <w:br/>
        <w:t xml:space="preserve">Adopts the following decision:  </w:t>
        <w:br/>
        <w:t xml:space="preserve">I. The concerned companies and the operation  </w:t>
        <w:br/>
        <w:t xml:space="preserve">1. Crédit Agricole Private Equity (hereinafter "CAPE") is a management company owned 99.99% by Crédit Agricole SA, which is dedicated to acquiring stakes in primarily unlisted companies through […] and mutual funds for which it provides management. CAPE also acts as an investor in investment funds through its "fund of funds" activity. In 2008, the consolidated turnover excluding taxes of the Crédit Agricole group amounted to 83.5 billion euros, of which [&gt;50] million in France. CAPE and ING Parcom Private Equity, a company of the ING banking group, made a firm offer regarding the acquisition of Cliniques Privées Associées on October 20, 2009.  </w:t>
        <w:br/>
        <w:t xml:space="preserve">2. Cliniques Privées Associées (hereinafter "CPA") is a holding company that holds stakes in private healthcare facilities. CPA is owned [by] […] % by CPA practitioners, and [by] […] % by the company Saint Vincent Participations, an indirect subsidiary of CPA. In 2008, the consolidated turnover excluding taxes of CPA amounted to [&gt;50] million euros.  </w:t>
        <w:br/>
        <w:t xml:space="preserve">3. The parties created, as investment vehicles for the purposes of the operation, the companies Vivalto Santé Groupe (hereinafter "VSG") and Vivalto Santé (hereinafter "VS").  </w:t>
        <w:br/>
        <w:t xml:space="preserve">4. At the conclusion of the operation, according to the firm offer from CAPE and ING Parcom Private Equity dated October 20, 2009, and the draft shareholders' agreement submitted by the parties, the voting rights of VSG will be held at [&lt;50]% indirectly by CAPE, via the FCPR CACI 3 and the company CLCI, at [&lt;50]% by ING Parcom Private Equity, at [&lt;50]% by BNP Paribas, at [&lt;50]% by Crédit Mutuel Arkea, and at [&lt;50]% by Vivalto, the investment vehicle of Mr. Daniel Caille who will also be President of VSG and VS. VSG will hold [&gt;50]% of the voting rights of VS, with the remaining [&lt;50]% being acquired by the current practitioners of CPA. VS, for its part, will hold up to [&gt;50]% of the voting rights of CPA, it being specified that, in the event that certain practitioners refuse to transfer their voting rights, the holding by VS of at least [&gt;50]% of these rights constitutes a suspensive condition without which the operation cannot be carried out. VSG will be equipped with a supervisory board that will include five members, three of whom will be appointed by CAPE, one member appointed by ING Parcom Private Equity, and one member appointed by Vivalto. Strategic decisions regarding VSG and VS (approval of budgets, including investment budgets, hiring or dismissal of executives) will be adopted by a simple majority of the supervisory board. Furthermore, the draft shareholders' agreement does not confer to shareholders other than CAPE rights exceeding those normally granted to minority shareholders to protect their financial interests.  </w:t>
        <w:br/>
        <w:t xml:space="preserve">5. Insofar as it results, in light of the preceding elements, in the exclusive control of the CPA group by CAPE, the notified operation constitutes a concentration within the meaning of Article L. 430-1 of the Commercial Code. Given the turnover of the concerned companies, it does not have a community dimension. However, the control thresholds mentioned in point I of Article L. 430-2 of the Commercial Code are exceeded. The present operation is therefore subject to the provisions of Articles L. 430-3 and following of the Commercial Code relating to economic concentration.  </w:t>
        <w:br/>
        <w:t xml:space="preserve">II. Competitive analysis  </w:t>
        <w:br/>
        <w:t xml:space="preserve">6. CPA is present through the healthcare facilities it holds in the markets for the provision of diagnostics and care.  </w:t>
        <w:br/>
        <w:t xml:space="preserve">7. CAPE does not hold, directly or indirectly, controlling stakes within the meaning of competition law in a company active in the markets where CPA is present, nor in an upstream, downstream, or related market. Furthermore, the parties have declared that the Crédit Agricole group does not control any company in these same markets.  </w:t>
        <w:br/>
        <w:t>8. Consequently, the present operation is not likely to harm competition.</w:t>
      </w:r>
    </w:p>
    <w:p>
      <w:r>
        <w:t xml:space="preserve">DECIDES  </w:t>
        <w:br/>
        <w:t xml:space="preserve">Sole Article: The operation notified under number 09-0097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