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https://www.autoritedelaconcurrence.fr/fr/decision-de-controle-des-concentrations/relative-la-prise-de-controle-exclusif-du-groupe-cochet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19-DCC-138 of July 12, 2019  </w:t>
        <w:br/>
        <w:t xml:space="preserve">regarding the exclusive control acquisition of the Cochet Automobiles group  </w:t>
        <w:br/>
        <w:t xml:space="preserve">by the Pautric group  </w:t>
        <w:br/>
        <w:t xml:space="preserve">The Competition Authority,  </w:t>
        <w:br/>
        <w:t xml:space="preserve">Having regard to the notification file sent to the mergers department on May 15, 2019, declared  </w:t>
        <w:br/>
        <w:t xml:space="preserve">complete on July 3, 2019, concerning the exclusive control acquisition of the Cochet Automobiles group  </w:t>
        <w:br/>
        <w:t xml:space="preserve">by the Pautric group, and formalized by a memorandum of understanding dated February 19,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submitted during the investigation by the notifying party;  </w:t>
        <w:br/>
        <w:t xml:space="preserve">Adopts the following decision:  </w:t>
        <w:br/>
        <w:t xml:space="preserve">1. The notified operation consists of the exclusive control acquisition by the Pautric group of the Cochet  </w:t>
        <w:br/>
        <w:t xml:space="preserve">Automobiles group, which operates four car dealerships of the brands Volvo, Jaguar, and Land Rover,  </w:t>
        <w:br/>
        <w:t xml:space="preserve">located in Crolles (38), Chambéry (73), Annecy (74), and Annemasse (74). It constitutes a concentration  </w:t>
        <w:br/>
        <w:t xml:space="preserve">operation within the meaning of Article L. 430-1 of the Commercial Code.  </w:t>
        <w:br/>
        <w:t xml:space="preserve">Considering the turnover achieved by the companies concerned, the operation does not fall under the  </w:t>
        <w:br/>
        <w:t xml:space="preserve">competence of the European Union. On the other hand, the control thresholds related to retail trade  </w:t>
        <w:br/>
        <w:t xml:space="preserve">mentioned in point II of Article L. 430-2 of the Commercial Code are exceeded. This operation is therefore  </w:t>
        <w:br/>
        <w:t xml:space="preserve">subject to the provisions of Articles L. 430-3 and following of the Commercial Code relating to economic  </w:t>
        <w:br/>
        <w:t xml:space="preserve">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19-122 is authorized.  </w:t>
        <w:br/>
        <w:t xml:space="preserve">The Chairwoman,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