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https://www.autoritedelaconcurrence.fr/fr/decision-de-controle-des-concentrations/relative-la-prise-de-controle-exclusif-du-groupe-cofibex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24-DCC-261 of November 29, 2024  </w:t>
        <w:br/>
        <w:t xml:space="preserve">regarding the exclusive control acquisition of the Cofibex group by  </w:t>
        <w:br/>
        <w:t xml:space="preserve">Praxy Développement  </w:t>
        <w:br/>
        <w:t xml:space="preserve">The Competition Authority,  </w:t>
        <w:br/>
        <w:t xml:space="preserve">Having regard to the complete notification file sent to the mergers department on  </w:t>
        <w:br/>
        <w:t xml:space="preserve">November 13, 2024, concerning the exclusive control acquisition of the Cofibex group by  </w:t>
        <w:br/>
        <w:t xml:space="preserve">Praxy Développement formalized by a letter of intent dated September 4, 2024, and the signing  </w:t>
        <w:br/>
        <w:t xml:space="preserve">of a firm offer on October 4, 2024;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acquisition by the company Praxy Développement, directly  </w:t>
        <w:br/>
        <w:t xml:space="preserve">or indirectly, of control over the company Cofibex SAS and its subsidiaries and the SCI Salasanne and  </w:t>
        <w:br/>
        <w:t xml:space="preserve">its subsidiaries (together, "the Cofibex group"). The latter is primarily active in the sector  </w:t>
        <w:br/>
        <w:t xml:space="preserve">of the collection of ordinary business waste in the Auvergne-Rhône-Alpes region and the  </w:t>
        <w:br/>
        <w:t xml:space="preserve">trade of ferrous and non-ferrous metal waste. The operation constitutes a concentration  </w:t>
        <w:br/>
        <w:t xml:space="preserve">within the meaning of Article L. 430-1 of the Commercial Code. Given the turnover achieved  </w:t>
        <w:br/>
        <w:t xml:space="preserve">by the companies concerned, the operation does not fall under the jurisdiction of the European  </w:t>
        <w:br/>
        <w:t xml:space="preserve">Union. However, the control thresholds mentioned in I of Article L. 430-2 of the Commercial  </w:t>
        <w:br/>
        <w:t xml:space="preserve">Code are exceeded. The present operation is therefore subject to the provisions of Articles  </w:t>
        <w:br/>
        <w:t xml:space="preserve">L. 430-3 and following of the Commercial Code relating to economic concentration.  </w:t>
        <w:br/>
        <w:t xml:space="preserve">2. In light of the elements of the file, the operation is not likely to harm competition  </w:t>
        <w:br/>
        <w:t>in the relevant markets.</w:t>
      </w:r>
    </w:p>
    <w:p>
      <w:r>
        <w:t xml:space="preserve">DECIDES  </w:t>
        <w:br/>
        <w:t xml:space="preserve">Sole Article: The operation notified under number 24-292 is authorized.  </w:t>
        <w:br/>
        <w:t xml:space="preserve">The President,  </w:t>
        <w:br/>
        <w:t xml:space="preserve">Benoît Cœuré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